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4805" w:rsidRPr="007226FD" w:rsidRDefault="00AF4805" w:rsidP="00AF4805">
      <w:pPr>
        <w:shd w:val="clear" w:color="auto" w:fill="B3B3B3"/>
        <w:jc w:val="center"/>
        <w:rPr>
          <w:rFonts w:ascii="汉仪中黑简" w:eastAsia="汉仪中黑简" w:hAnsi="华文中宋" w:cs="汉仪中黑简" w:hint="eastAsia"/>
          <w:kern w:val="0"/>
          <w:sz w:val="32"/>
          <w:szCs w:val="32"/>
        </w:rPr>
      </w:pPr>
    </w:p>
    <w:p w:rsidR="00AF4805" w:rsidRPr="00AF4805" w:rsidRDefault="00AF4805" w:rsidP="00AF4805">
      <w:pPr>
        <w:shd w:val="clear" w:color="auto" w:fill="B3B3B3"/>
        <w:jc w:val="center"/>
        <w:rPr>
          <w:rFonts w:ascii="汉仪中黑简" w:eastAsia="汉仪中黑简" w:hint="eastAsia"/>
          <w:outline/>
          <w:color w:val="BFBFBF" w:themeColor="background1" w:themeShade="BF"/>
          <w:sz w:val="36"/>
          <w:szCs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pPr>
      <w:r w:rsidRPr="00AF4805">
        <w:rPr>
          <w:rFonts w:ascii="汉仪中黑简" w:eastAsia="汉仪中黑简" w:hint="eastAsia"/>
          <w:outline/>
          <w:color w:val="BFBFBF" w:themeColor="background1" w:themeShade="BF"/>
          <w:sz w:val="36"/>
          <w:szCs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t>主要统计指标解释</w:t>
      </w:r>
    </w:p>
    <w:p w:rsidR="00AF4805" w:rsidRPr="00E602DD" w:rsidRDefault="00AF4805" w:rsidP="00AF480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beforeLines="50" w:before="156" w:afterLines="50" w:after="156"/>
        <w:jc w:val="center"/>
        <w:rPr>
          <w:rFonts w:ascii="汉仪中黑简" w:eastAsia="汉仪中黑简" w:hAnsi="华文中宋" w:cs="汉仪中黑简" w:hint="eastAsia"/>
          <w:kern w:val="0"/>
          <w:szCs w:val="21"/>
        </w:rPr>
      </w:pPr>
    </w:p>
    <w:p w:rsidR="00AF4805" w:rsidRPr="0065744A" w:rsidRDefault="00AF4805" w:rsidP="00AF4805">
      <w:pPr>
        <w:spacing w:line="360" w:lineRule="exact"/>
        <w:ind w:firstLineChars="200" w:firstLine="360"/>
        <w:rPr>
          <w:rFonts w:ascii="汉仪书宋一简" w:eastAsia="汉仪书宋一简" w:hint="eastAsia"/>
          <w:sz w:val="18"/>
          <w:szCs w:val="18"/>
        </w:rPr>
      </w:pPr>
      <w:r w:rsidRPr="0065744A">
        <w:rPr>
          <w:rFonts w:ascii="汉仪书宋一简" w:eastAsia="汉仪书宋一简" w:hint="eastAsia"/>
          <w:b/>
          <w:sz w:val="18"/>
          <w:szCs w:val="18"/>
        </w:rPr>
        <w:t>科技活动</w:t>
      </w:r>
      <w:r w:rsidRPr="0065744A">
        <w:rPr>
          <w:rFonts w:ascii="汉仪书宋一简" w:eastAsia="汉仪书宋一简" w:hint="eastAsia"/>
          <w:sz w:val="18"/>
          <w:szCs w:val="18"/>
        </w:rPr>
        <w:t xml:space="preserve">  指在自然科学、农业科学、医药科学、工程与技术科学、人文与社会科学领域(简称科学技术领域)中，与科技知识的产生、发展、传播和应用密切相关的有组织的活动。可分为研究与试验发展(R&amp;D)、研究与试验发展成果应用及相关的科技服务三类活动。该定义是联合国教科文组织考虑成员国特别是发展中国家开展科技统计工作的需要，而对科技活动所作的统计界定。</w:t>
      </w:r>
    </w:p>
    <w:p w:rsidR="00AF4805" w:rsidRPr="0065744A" w:rsidRDefault="00AF4805" w:rsidP="00AF4805">
      <w:pPr>
        <w:spacing w:line="360" w:lineRule="exact"/>
        <w:ind w:firstLineChars="200" w:firstLine="360"/>
        <w:rPr>
          <w:rFonts w:ascii="汉仪书宋一简" w:eastAsia="汉仪书宋一简" w:hint="eastAsia"/>
          <w:sz w:val="18"/>
          <w:szCs w:val="18"/>
        </w:rPr>
      </w:pPr>
      <w:r w:rsidRPr="0065744A">
        <w:rPr>
          <w:rFonts w:ascii="汉仪书宋一简" w:eastAsia="汉仪书宋一简" w:hint="eastAsia"/>
          <w:b/>
          <w:sz w:val="18"/>
          <w:szCs w:val="18"/>
        </w:rPr>
        <w:t>科技活动人员</w:t>
      </w:r>
      <w:r w:rsidRPr="0065744A">
        <w:rPr>
          <w:rFonts w:ascii="汉仪书宋一简" w:eastAsia="汉仪书宋一简" w:hint="eastAsia"/>
          <w:sz w:val="18"/>
          <w:szCs w:val="18"/>
        </w:rPr>
        <w:t xml:space="preserve">  指直接从事科技活动、以及专门从事科技活动管理和为科技活动提供直接服务，累计的实际工作时间占全年制度工作时间10%及以上的人员。(1)直接从事科技活动的人员包括：在独立核算的科学研究与技术开发机构、高等学校、各类企业及其他事业单位内设的研究室、实验室、技术开发中心及中试车间(基地)等机构中从事科技活动的研究人员、工程技术人员、技术工人及其它人员；虽不在上述机构工作，但编入科技活动项目(课题)组的人员；科技信息与文献机构中的专业技术人员；从事论文设计的研究生等。(2)专门从事科技活动管理和为科技活动提供直接服务的人员，包括：独立核算的科学研究与技术开发机构、科技信息与文献机构、高等学校、各类企业及其他事业单位主管科技工作的负责人，专门从事科技活动的计划、行政、人事、财务、物资供应、设备维护、图书资料管理等工作的各类人员，但不包括保卫、医疗保健人员、司机、食堂人员、茶炉工、水暖工、清洁工等为科技活动提供间接服务的人员。该指标用来反映投入科技活动人力的规模。</w:t>
      </w:r>
    </w:p>
    <w:p w:rsidR="00AF4805" w:rsidRPr="0065744A" w:rsidRDefault="00AF4805" w:rsidP="00AF4805">
      <w:pPr>
        <w:spacing w:line="360" w:lineRule="exact"/>
        <w:ind w:firstLineChars="200" w:firstLine="360"/>
        <w:rPr>
          <w:rFonts w:ascii="汉仪书宋一简" w:eastAsia="汉仪书宋一简" w:hint="eastAsia"/>
          <w:sz w:val="18"/>
          <w:szCs w:val="18"/>
        </w:rPr>
      </w:pPr>
      <w:r w:rsidRPr="0065744A">
        <w:rPr>
          <w:rFonts w:ascii="汉仪书宋一简" w:eastAsia="汉仪书宋一简" w:hint="eastAsia"/>
          <w:b/>
          <w:sz w:val="18"/>
          <w:szCs w:val="18"/>
        </w:rPr>
        <w:t>科学家与工程师</w:t>
      </w:r>
      <w:r w:rsidRPr="0065744A">
        <w:rPr>
          <w:rFonts w:ascii="汉仪书宋一简" w:eastAsia="汉仪书宋一简" w:hint="eastAsia"/>
          <w:sz w:val="18"/>
          <w:szCs w:val="18"/>
        </w:rPr>
        <w:t xml:space="preserve">  指科技活动人员中具有高、中级技术职称(职务)的人员和不具有高、中级技术职称(职务)的大学本科及以上学历人员。该指标用来反映投入科技活动人力的素质。</w:t>
      </w:r>
    </w:p>
    <w:p w:rsidR="00AF4805" w:rsidRPr="0065744A" w:rsidRDefault="00AF4805" w:rsidP="00AF4805">
      <w:pPr>
        <w:spacing w:line="360" w:lineRule="exact"/>
        <w:ind w:firstLineChars="200" w:firstLine="360"/>
        <w:rPr>
          <w:rFonts w:ascii="汉仪书宋一简" w:eastAsia="汉仪书宋一简" w:hint="eastAsia"/>
          <w:sz w:val="18"/>
          <w:szCs w:val="18"/>
        </w:rPr>
      </w:pPr>
      <w:r w:rsidRPr="0065744A">
        <w:rPr>
          <w:rFonts w:ascii="汉仪书宋一简" w:eastAsia="汉仪书宋一简" w:hint="eastAsia"/>
          <w:b/>
          <w:sz w:val="18"/>
          <w:szCs w:val="18"/>
        </w:rPr>
        <w:t>研究与试验发展(R&amp;D)</w:t>
      </w:r>
      <w:r w:rsidRPr="0065744A">
        <w:rPr>
          <w:rFonts w:ascii="汉仪书宋一简" w:eastAsia="汉仪书宋一简" w:hint="eastAsia"/>
          <w:sz w:val="18"/>
          <w:szCs w:val="18"/>
        </w:rPr>
        <w:t xml:space="preserve">   指在科学技术领域，为增加知识总量，以及运用这些知识去创造新的应用进行的系统的创造性的活动，包括基础研究、应用研究、试验发展三类活动。国际上通常采用R&amp;D活动的规模和强度指标反映一国的科技实力和核心竞争力。</w:t>
      </w:r>
    </w:p>
    <w:p w:rsidR="00AF4805" w:rsidRPr="0065744A" w:rsidRDefault="00AF4805" w:rsidP="00AF4805">
      <w:pPr>
        <w:spacing w:line="360" w:lineRule="exact"/>
        <w:ind w:firstLineChars="200" w:firstLine="360"/>
        <w:rPr>
          <w:rFonts w:ascii="汉仪书宋一简" w:eastAsia="汉仪书宋一简" w:hint="eastAsia"/>
          <w:sz w:val="18"/>
          <w:szCs w:val="18"/>
        </w:rPr>
      </w:pPr>
      <w:r w:rsidRPr="0065744A">
        <w:rPr>
          <w:rFonts w:ascii="汉仪书宋一简" w:eastAsia="汉仪书宋一简" w:hint="eastAsia"/>
          <w:b/>
          <w:sz w:val="18"/>
          <w:szCs w:val="18"/>
        </w:rPr>
        <w:t>专业技术人员</w:t>
      </w:r>
      <w:r w:rsidRPr="0065744A">
        <w:rPr>
          <w:rFonts w:ascii="汉仪书宋一简" w:eastAsia="汉仪书宋一简" w:hint="eastAsia"/>
          <w:sz w:val="18"/>
          <w:szCs w:val="18"/>
        </w:rPr>
        <w:t xml:space="preserve">  指从事专业技术工作和专业技术管理工作的人员，即企事业单位中已经聘任专业技术职务从事专业技术工作和专业技术管理工作的人员，以及未聘任专业技术职务，现在专业技术岗位上工作的人员。包括工程技术人员，农业技术人员，科学研究人员，卫生技术人员，教学人员，经济人员，会计人员，统计人员，翻译人员，图书资料、档案、文博人员，新闻出版人员，律师、公证人员，广播电视播音人员，工艺美术人员，体育人员，艺术人员及企业政治思想工作人员，共十七个专业技术职务类别。用来反映科技人力资源情况。</w:t>
      </w:r>
    </w:p>
    <w:p w:rsidR="00AF4805" w:rsidRPr="0065744A" w:rsidRDefault="00AF4805" w:rsidP="00AF4805">
      <w:pPr>
        <w:spacing w:line="360" w:lineRule="exact"/>
        <w:ind w:firstLineChars="200" w:firstLine="360"/>
        <w:rPr>
          <w:rFonts w:ascii="汉仪书宋一简" w:eastAsia="汉仪书宋一简" w:hint="eastAsia"/>
          <w:sz w:val="18"/>
          <w:szCs w:val="18"/>
        </w:rPr>
      </w:pPr>
      <w:r w:rsidRPr="0065744A">
        <w:rPr>
          <w:rFonts w:ascii="汉仪书宋一简" w:eastAsia="汉仪书宋一简" w:hint="eastAsia"/>
          <w:b/>
          <w:sz w:val="18"/>
          <w:szCs w:val="18"/>
        </w:rPr>
        <w:t>科技活动经费筹集</w:t>
      </w:r>
      <w:r w:rsidRPr="0065744A">
        <w:rPr>
          <w:rFonts w:ascii="汉仪书宋一简" w:eastAsia="汉仪书宋一简" w:hint="eastAsia"/>
          <w:sz w:val="18"/>
          <w:szCs w:val="18"/>
        </w:rPr>
        <w:t xml:space="preserve">  指从各种渠道筹集到的计划用于科技活动的经费，包括政府资金、企业资金、事业单位资金、金融机构贷款、国外资金和其他资金等。反映各社会经济主体对促进科技进步所做的努力。</w:t>
      </w:r>
    </w:p>
    <w:p w:rsidR="00AF4805" w:rsidRPr="0065744A" w:rsidRDefault="00AF4805" w:rsidP="00AF4805">
      <w:pPr>
        <w:spacing w:line="360" w:lineRule="exact"/>
        <w:ind w:firstLineChars="200" w:firstLine="360"/>
        <w:rPr>
          <w:rFonts w:ascii="汉仪书宋一简" w:eastAsia="汉仪书宋一简" w:hint="eastAsia"/>
          <w:sz w:val="18"/>
          <w:szCs w:val="18"/>
        </w:rPr>
      </w:pPr>
      <w:r w:rsidRPr="0065744A">
        <w:rPr>
          <w:rFonts w:ascii="汉仪书宋一简" w:eastAsia="汉仪书宋一简" w:hint="eastAsia"/>
          <w:b/>
          <w:sz w:val="18"/>
          <w:szCs w:val="18"/>
        </w:rPr>
        <w:t>新产品</w:t>
      </w:r>
      <w:r w:rsidRPr="0065744A">
        <w:rPr>
          <w:rFonts w:ascii="汉仪书宋一简" w:eastAsia="汉仪书宋一简" w:hint="eastAsia"/>
          <w:sz w:val="18"/>
          <w:szCs w:val="18"/>
        </w:rPr>
        <w:t xml:space="preserve">  指采用新技术原理、新设计构思研制、生产的全新产品，或在结构、材质、工艺等某一方面比原有产品有明显改进，从而显著提高了产品性能或扩大了使用功能的产品。既包括政府有关部门认定并在有效期内的新产品，也包括企业自行研制开发，未经政府有关部门认定，从投产之日起一年之内的新产品。用来反映科技产出及对经济增长的直接贡献。</w:t>
      </w:r>
    </w:p>
    <w:p w:rsidR="00AF4805" w:rsidRPr="0065744A" w:rsidRDefault="00AF4805" w:rsidP="00AF4805">
      <w:pPr>
        <w:spacing w:line="360" w:lineRule="exact"/>
        <w:ind w:firstLineChars="200" w:firstLine="360"/>
        <w:rPr>
          <w:rFonts w:ascii="汉仪书宋一简" w:eastAsia="汉仪书宋一简" w:hint="eastAsia"/>
          <w:sz w:val="18"/>
          <w:szCs w:val="18"/>
        </w:rPr>
      </w:pPr>
      <w:r w:rsidRPr="0065744A">
        <w:rPr>
          <w:rFonts w:ascii="汉仪书宋一简" w:eastAsia="汉仪书宋一简" w:hint="eastAsia"/>
          <w:b/>
          <w:sz w:val="18"/>
          <w:szCs w:val="18"/>
        </w:rPr>
        <w:t>专利</w:t>
      </w:r>
      <w:r w:rsidRPr="0065744A">
        <w:rPr>
          <w:rFonts w:ascii="汉仪书宋一简" w:eastAsia="汉仪书宋一简" w:hint="eastAsia"/>
          <w:sz w:val="18"/>
          <w:szCs w:val="18"/>
        </w:rPr>
        <w:t xml:space="preserve">  是专利权的简称，是对发明人的发明创造经审查合格后，由专利局依据专利法授予发明人和设计人对该项发明创造享有的专有权。包括发明、实用新型和外观设计。反映拥有自主知识产权的科技和设计成果情况。</w:t>
      </w:r>
    </w:p>
    <w:p w:rsidR="00AF4805" w:rsidRPr="0065744A" w:rsidRDefault="00AF4805" w:rsidP="00AF4805">
      <w:pPr>
        <w:spacing w:line="360" w:lineRule="exact"/>
        <w:ind w:firstLineChars="200" w:firstLine="360"/>
        <w:rPr>
          <w:rFonts w:ascii="汉仪书宋一简" w:eastAsia="汉仪书宋一简" w:hint="eastAsia"/>
          <w:sz w:val="18"/>
          <w:szCs w:val="18"/>
        </w:rPr>
      </w:pPr>
      <w:r w:rsidRPr="0065744A">
        <w:rPr>
          <w:rFonts w:ascii="汉仪书宋一简" w:eastAsia="汉仪书宋一简" w:hint="eastAsia"/>
          <w:b/>
          <w:sz w:val="18"/>
          <w:szCs w:val="18"/>
        </w:rPr>
        <w:t>发明</w:t>
      </w:r>
      <w:r w:rsidRPr="0065744A">
        <w:rPr>
          <w:rFonts w:ascii="汉仪书宋一简" w:eastAsia="汉仪书宋一简" w:hint="eastAsia"/>
          <w:sz w:val="18"/>
          <w:szCs w:val="18"/>
        </w:rPr>
        <w:t xml:space="preserve">  指对产品、方法或者其改进所提出的新的技术方案。是国际通行的反映拥有自主知识产权技术的核心指标。</w:t>
      </w:r>
    </w:p>
    <w:p w:rsidR="00AF4805" w:rsidRPr="0065744A" w:rsidRDefault="00AF4805" w:rsidP="00AF4805">
      <w:pPr>
        <w:spacing w:line="360" w:lineRule="exact"/>
        <w:ind w:firstLineChars="200" w:firstLine="360"/>
        <w:rPr>
          <w:rFonts w:ascii="汉仪书宋一简" w:eastAsia="汉仪书宋一简" w:hint="eastAsia"/>
          <w:sz w:val="18"/>
          <w:szCs w:val="18"/>
        </w:rPr>
      </w:pPr>
      <w:r w:rsidRPr="0065744A">
        <w:rPr>
          <w:rFonts w:ascii="汉仪书宋一简" w:eastAsia="汉仪书宋一简" w:hint="eastAsia"/>
          <w:b/>
          <w:sz w:val="18"/>
          <w:szCs w:val="18"/>
        </w:rPr>
        <w:t>普通高等学校</w:t>
      </w:r>
      <w:r w:rsidRPr="0065744A">
        <w:rPr>
          <w:rFonts w:ascii="汉仪书宋一简" w:eastAsia="汉仪书宋一简" w:hint="eastAsia"/>
          <w:sz w:val="18"/>
          <w:szCs w:val="18"/>
        </w:rPr>
        <w:t xml:space="preserve">  指按照国家规定的设置标准和审批程序批准举办的，通过全国普通高等学校统一招生考试，招收高中毕业生为主要培养对象，实施高等教育的全日制大学、独立设置的学院和高等专科学校、高等职业学校和其他机构。</w:t>
      </w:r>
    </w:p>
    <w:p w:rsidR="00AF4805" w:rsidRPr="0065744A" w:rsidRDefault="00AF4805" w:rsidP="00AF4805">
      <w:pPr>
        <w:spacing w:line="360" w:lineRule="exact"/>
        <w:ind w:firstLineChars="200" w:firstLine="360"/>
        <w:rPr>
          <w:rFonts w:ascii="汉仪书宋一简" w:eastAsia="汉仪书宋一简" w:hint="eastAsia"/>
          <w:sz w:val="18"/>
          <w:szCs w:val="18"/>
        </w:rPr>
      </w:pPr>
      <w:r w:rsidRPr="0065744A">
        <w:rPr>
          <w:rFonts w:ascii="汉仪书宋一简" w:eastAsia="汉仪书宋一简" w:hint="eastAsia"/>
          <w:sz w:val="18"/>
          <w:szCs w:val="18"/>
        </w:rPr>
        <w:t>大学、独立设置的学院主要实施本科层次以上教育，高等专科学校、高等职业学校实施专科层次教育，其他机构是承担国家普通招生计划任务不计校数的机构。包括普通高等学校分校和批准筹建的普通高等学校等。</w:t>
      </w:r>
    </w:p>
    <w:p w:rsidR="00AF4805" w:rsidRPr="0065744A" w:rsidRDefault="00AF4805" w:rsidP="00AF4805">
      <w:pPr>
        <w:spacing w:line="360" w:lineRule="exact"/>
        <w:ind w:firstLineChars="200" w:firstLine="360"/>
        <w:rPr>
          <w:rFonts w:ascii="汉仪书宋一简" w:eastAsia="汉仪书宋一简" w:hint="eastAsia"/>
          <w:sz w:val="18"/>
          <w:szCs w:val="18"/>
        </w:rPr>
      </w:pPr>
      <w:r w:rsidRPr="0065744A">
        <w:rPr>
          <w:rFonts w:ascii="汉仪书宋一简" w:eastAsia="汉仪书宋一简" w:hint="eastAsia"/>
          <w:b/>
          <w:sz w:val="18"/>
          <w:szCs w:val="18"/>
        </w:rPr>
        <w:lastRenderedPageBreak/>
        <w:t>成人高等学校</w:t>
      </w:r>
      <w:r w:rsidRPr="0065744A">
        <w:rPr>
          <w:rFonts w:ascii="汉仪书宋一简" w:eastAsia="汉仪书宋一简" w:hint="eastAsia"/>
          <w:sz w:val="18"/>
          <w:szCs w:val="18"/>
        </w:rPr>
        <w:t xml:space="preserve">  指按照国家规定的设置标准和审批程序批准举办的，通过全国成人高等学校统一招生考试，招收具有高中毕业或同等学历的在职从业人员为主要培养对象，利用函授、业余、脱产等多种形式对其实施高等学历教育的学校。包括职工高等学校、农民高等学校、管理干部学院、教育学院、独立函授学院、广播电视大学、其他机构等。其他机构是承担国家成人招生计划任务不计校数的机构。</w:t>
      </w:r>
    </w:p>
    <w:p w:rsidR="00AF4805" w:rsidRDefault="00AF4805" w:rsidP="00AF4805">
      <w:pPr>
        <w:spacing w:line="360" w:lineRule="exact"/>
        <w:ind w:firstLineChars="200" w:firstLine="360"/>
        <w:rPr>
          <w:rFonts w:ascii="汉仪书宋一简" w:eastAsia="汉仪书宋一简" w:hint="eastAsia"/>
          <w:sz w:val="18"/>
          <w:szCs w:val="18"/>
        </w:rPr>
      </w:pPr>
      <w:r w:rsidRPr="0065744A">
        <w:rPr>
          <w:rFonts w:ascii="汉仪书宋一简" w:eastAsia="汉仪书宋一简" w:hint="eastAsia"/>
          <w:b/>
          <w:sz w:val="18"/>
          <w:szCs w:val="18"/>
        </w:rPr>
        <w:t>小学学龄儿童净入学率</w:t>
      </w:r>
      <w:r w:rsidRPr="0065744A">
        <w:rPr>
          <w:rFonts w:ascii="汉仪书宋一简" w:eastAsia="汉仪书宋一简" w:hint="eastAsia"/>
          <w:sz w:val="18"/>
          <w:szCs w:val="18"/>
        </w:rPr>
        <w:t xml:space="preserve">  指调查范围内已入小学学习的学龄儿童占校内外学龄儿童总数(包括弱智儿童，不包括盲聋哑儿童)的比重。计算公式为：</w:t>
      </w:r>
    </w:p>
    <w:p w:rsidR="00AF4805" w:rsidRPr="0002252D" w:rsidRDefault="00AF4805" w:rsidP="00AF480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200" w:lineRule="exact"/>
        <w:ind w:firstLine="397"/>
        <w:rPr>
          <w:rFonts w:ascii="汉仪书宋一简" w:eastAsia="汉仪书宋一简" w:hAnsi="宋体" w:cs="汉仪书宋一简" w:hint="eastAsia"/>
          <w:kern w:val="0"/>
          <w:sz w:val="18"/>
          <w:szCs w:val="18"/>
        </w:rPr>
      </w:pPr>
      <w:r w:rsidRPr="0002252D">
        <w:rPr>
          <w:rFonts w:ascii="汉仪书宋一简" w:eastAsia="汉仪书宋一简" w:hAnsi="宋体" w:cs="汉仪书宋一简" w:hint="eastAsia"/>
          <w:kern w:val="0"/>
          <w:sz w:val="18"/>
          <w:szCs w:val="18"/>
        </w:rPr>
        <w:t xml:space="preserve">                       已入学的小学学龄儿童数</w:t>
      </w:r>
    </w:p>
    <w:p w:rsidR="00AF4805" w:rsidRPr="0002252D" w:rsidRDefault="00AF4805" w:rsidP="00AF480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200" w:lineRule="exact"/>
        <w:ind w:firstLine="397"/>
        <w:rPr>
          <w:rFonts w:ascii="汉仪书宋一简" w:eastAsia="汉仪书宋一简" w:hAnsi="宋体" w:cs="汉仪书宋一简" w:hint="eastAsia"/>
          <w:kern w:val="0"/>
          <w:sz w:val="18"/>
          <w:szCs w:val="18"/>
        </w:rPr>
      </w:pPr>
      <w:r w:rsidRPr="0002252D">
        <w:rPr>
          <w:rFonts w:ascii="汉仪书宋一简" w:eastAsia="汉仪书宋一简" w:hAnsi="宋体" w:cs="汉仪书宋一简" w:hint="eastAsia"/>
          <w:kern w:val="0"/>
          <w:sz w:val="18"/>
          <w:szCs w:val="18"/>
        </w:rPr>
        <w:t>小学学龄儿童净入学率=</w:t>
      </w:r>
      <w:r w:rsidRPr="0002252D">
        <w:rPr>
          <w:rFonts w:ascii="汉仪书宋一简" w:eastAsia="汉仪书宋一简" w:hAnsi="宋体" w:hint="eastAsia"/>
        </w:rPr>
        <w:t xml:space="preserve"> </w:t>
      </w:r>
      <w:r w:rsidRPr="0002252D">
        <w:rPr>
          <w:rFonts w:ascii="汉仪书宋一简" w:eastAsia="汉仪书宋一简" w:hAnsi="宋体" w:hint="eastAsia"/>
          <w:strike/>
          <w:szCs w:val="21"/>
        </w:rPr>
        <w:t xml:space="preserve">                    </w:t>
      </w:r>
      <w:r w:rsidRPr="0002252D">
        <w:rPr>
          <w:rFonts w:ascii="汉仪书宋一简" w:eastAsia="汉仪书宋一简" w:hAnsi="宋体" w:cs="汉仪书宋一简" w:hint="eastAsia"/>
          <w:kern w:val="0"/>
          <w:sz w:val="18"/>
          <w:szCs w:val="18"/>
        </w:rPr>
        <w:t>×100%</w:t>
      </w:r>
    </w:p>
    <w:p w:rsidR="00AF4805" w:rsidRPr="0002252D" w:rsidRDefault="00AF4805" w:rsidP="00AF480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200" w:lineRule="exact"/>
        <w:ind w:firstLine="397"/>
        <w:rPr>
          <w:rFonts w:ascii="汉仪书宋一简" w:eastAsia="汉仪书宋一简" w:hAnsi="宋体" w:hint="eastAsia"/>
        </w:rPr>
      </w:pPr>
      <w:r w:rsidRPr="0002252D">
        <w:rPr>
          <w:rFonts w:ascii="汉仪书宋一简" w:eastAsia="汉仪书宋一简" w:hAnsi="宋体" w:cs="汉仪书宋一简" w:hint="eastAsia"/>
          <w:kern w:val="0"/>
          <w:sz w:val="18"/>
          <w:szCs w:val="18"/>
        </w:rPr>
        <w:t xml:space="preserve">                       校内外小学学龄儿童总数</w:t>
      </w:r>
    </w:p>
    <w:p w:rsidR="00AF4805" w:rsidRDefault="00AF4805" w:rsidP="00AF480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宋体" w:hAnsi="宋体" w:cs="汉仪书宋一简" w:hint="eastAsia"/>
          <w:kern w:val="0"/>
          <w:sz w:val="18"/>
          <w:szCs w:val="18"/>
        </w:rPr>
      </w:pPr>
    </w:p>
    <w:p w:rsidR="00AF4805" w:rsidRPr="00734B31" w:rsidRDefault="00AF4805" w:rsidP="00AF480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宋体" w:hAnsi="宋体" w:cs="汉仪书宋一简" w:hint="eastAsia"/>
          <w:kern w:val="0"/>
          <w:sz w:val="18"/>
          <w:szCs w:val="18"/>
        </w:rPr>
      </w:pPr>
    </w:p>
    <w:p w:rsidR="00AF4805" w:rsidRPr="00123BAD" w:rsidRDefault="00AF4805" w:rsidP="00AF4805">
      <w:pPr>
        <w:snapToGrid w:val="0"/>
        <w:spacing w:line="360" w:lineRule="exact"/>
        <w:jc w:val="center"/>
        <w:rPr>
          <w:rFonts w:hint="eastAsia"/>
          <w:b/>
          <w:sz w:val="28"/>
          <w:szCs w:val="28"/>
        </w:rPr>
      </w:pPr>
      <w:r w:rsidRPr="00123BAD">
        <w:rPr>
          <w:b/>
          <w:sz w:val="28"/>
          <w:szCs w:val="28"/>
        </w:rPr>
        <w:t>Explanatory Notes on Main Statistical Indicators</w:t>
      </w:r>
    </w:p>
    <w:p w:rsidR="00AF4805" w:rsidRPr="0065744A" w:rsidRDefault="00AF4805" w:rsidP="00AF4805">
      <w:pPr>
        <w:spacing w:line="360" w:lineRule="exact"/>
        <w:ind w:firstLineChars="200" w:firstLine="360"/>
        <w:rPr>
          <w:sz w:val="18"/>
          <w:szCs w:val="18"/>
        </w:rPr>
      </w:pPr>
    </w:p>
    <w:p w:rsidR="00AF4805" w:rsidRPr="0065744A" w:rsidRDefault="00AF4805" w:rsidP="00AF4805">
      <w:pPr>
        <w:spacing w:line="360" w:lineRule="exact"/>
        <w:ind w:firstLineChars="200" w:firstLine="361"/>
        <w:rPr>
          <w:sz w:val="18"/>
          <w:szCs w:val="18"/>
        </w:rPr>
      </w:pPr>
      <w:r w:rsidRPr="0065744A">
        <w:rPr>
          <w:b/>
          <w:sz w:val="18"/>
          <w:szCs w:val="18"/>
        </w:rPr>
        <w:t>Scientific and Technological Activities (S&amp;T Activities)</w:t>
      </w:r>
      <w:r>
        <w:rPr>
          <w:rFonts w:hint="eastAsia"/>
          <w:sz w:val="18"/>
          <w:szCs w:val="18"/>
        </w:rPr>
        <w:t xml:space="preserve"> </w:t>
      </w:r>
      <w:r w:rsidRPr="0065744A">
        <w:rPr>
          <w:sz w:val="18"/>
          <w:szCs w:val="18"/>
        </w:rPr>
        <w:t xml:space="preserve"> refer to organized activities which are closely related with the creation, development, dissemination and application of the scientific and technical knowledge in the fields of natural sciences, agricultural science, medical science, engineering and technological science, humanities and social sciences (referred to as scientific and technological fields). S&amp;T activities can be classified in to 3 categories: research and development (R&amp;D) activities, application of R&amp;D results, and related S&amp;T services. This statistical definition is made by UNICHIEF for scientific and technological activities to meet the need of carrying out statistical work in this field for its member countries in particular those developing countries.</w:t>
      </w:r>
    </w:p>
    <w:p w:rsidR="00AF4805" w:rsidRPr="0065744A" w:rsidRDefault="00AF4805" w:rsidP="00AF4805">
      <w:pPr>
        <w:spacing w:line="360" w:lineRule="exact"/>
        <w:ind w:firstLineChars="200" w:firstLine="361"/>
        <w:rPr>
          <w:sz w:val="18"/>
          <w:szCs w:val="18"/>
        </w:rPr>
      </w:pPr>
      <w:r w:rsidRPr="0065744A">
        <w:rPr>
          <w:b/>
          <w:sz w:val="18"/>
          <w:szCs w:val="18"/>
        </w:rPr>
        <w:t>Personnel Engaged in S&amp;T Activities</w:t>
      </w:r>
      <w:r>
        <w:rPr>
          <w:rFonts w:hint="eastAsia"/>
          <w:sz w:val="18"/>
          <w:szCs w:val="18"/>
        </w:rPr>
        <w:t xml:space="preserve"> </w:t>
      </w:r>
      <w:r w:rsidRPr="0065744A">
        <w:rPr>
          <w:sz w:val="18"/>
          <w:szCs w:val="18"/>
        </w:rPr>
        <w:t xml:space="preserve"> refer to personnel directly engaged in S&amp;T activities, in the management of S&amp;T activities, and in providing direct service to S&amp;T activities, who spend over 10% of the total working hours in a year in S&amp;T activities. (1) Personnel directly engaged in S&amp;T activities include researchers, engineers, technicians and other related personnel engaged in S&amp;T activities in independent-accounting R&amp;D institutions, institutions of higher learning, and in research institutes, laboratories, technology development centers and central experiment workshops under enterprises and institutions. Also included are people working in S&amp;T research project teams, professional and technical personnel working in S&amp;T information archiving institutes, and graduate students working on the design of their thesis. (2) Personnel engaged in the management of S&amp;T activities and in providing direct service to S&amp;T activities include senior management people responsible for S&amp;T activities in independent-accounting R&amp;D institutions, S&amp;T information archiving institutes, institutions of higher learning, and in enterprises and institutions where S&amp;T activities are undertaken. Also included are people responsible for the planning, administration, personnel management, financial management, logistics supply, equipment maintenance, information and library management that are related with S&amp;T activities. People providing indirect services are excluded, such as security, medical service, drivers, plumbers, cleaners and those providing catering and related service. This indicator reflects the size of personnel engaged in S&amp;T activities.</w:t>
      </w:r>
    </w:p>
    <w:p w:rsidR="00AF4805" w:rsidRPr="0065744A" w:rsidRDefault="00AF4805" w:rsidP="00AF4805">
      <w:pPr>
        <w:spacing w:line="360" w:lineRule="exact"/>
        <w:ind w:firstLineChars="200" w:firstLine="361"/>
        <w:rPr>
          <w:sz w:val="18"/>
          <w:szCs w:val="18"/>
        </w:rPr>
      </w:pPr>
      <w:r w:rsidRPr="0065744A">
        <w:rPr>
          <w:b/>
          <w:sz w:val="18"/>
          <w:szCs w:val="18"/>
        </w:rPr>
        <w:t>Scientists and Engineers</w:t>
      </w:r>
      <w:r w:rsidRPr="0065744A">
        <w:rPr>
          <w:sz w:val="18"/>
          <w:szCs w:val="18"/>
        </w:rPr>
        <w:t xml:space="preserve"> </w:t>
      </w:r>
      <w:r>
        <w:rPr>
          <w:rFonts w:hint="eastAsia"/>
          <w:sz w:val="18"/>
          <w:szCs w:val="18"/>
        </w:rPr>
        <w:t xml:space="preserve"> </w:t>
      </w:r>
      <w:r w:rsidRPr="0065744A">
        <w:rPr>
          <w:sz w:val="18"/>
          <w:szCs w:val="18"/>
        </w:rPr>
        <w:t>refer to persons engaged in S&amp;T activities who have obtained titles of senior and middle level professional positions, and those without such position but have completed university or higher education. This indicator reflects the quality of personnel engaged in S&amp;T activities.</w:t>
      </w:r>
    </w:p>
    <w:p w:rsidR="00AF4805" w:rsidRPr="0065744A" w:rsidRDefault="00AF4805" w:rsidP="00AF4805">
      <w:pPr>
        <w:spacing w:line="360" w:lineRule="exact"/>
        <w:ind w:firstLineChars="200" w:firstLine="361"/>
        <w:rPr>
          <w:sz w:val="18"/>
          <w:szCs w:val="18"/>
        </w:rPr>
      </w:pPr>
      <w:r w:rsidRPr="0065744A">
        <w:rPr>
          <w:b/>
          <w:sz w:val="18"/>
          <w:szCs w:val="18"/>
        </w:rPr>
        <w:t>Research and Development (R&amp;D)</w:t>
      </w:r>
      <w:r>
        <w:rPr>
          <w:rFonts w:hint="eastAsia"/>
          <w:sz w:val="18"/>
          <w:szCs w:val="18"/>
        </w:rPr>
        <w:t xml:space="preserve"> </w:t>
      </w:r>
      <w:r w:rsidRPr="0065744A">
        <w:rPr>
          <w:sz w:val="18"/>
          <w:szCs w:val="18"/>
        </w:rPr>
        <w:t xml:space="preserve"> refers to systematic and creative activities in the field of science and technology aiming at increasing the knowledge and using the knowledge for new application. R&amp;D includes 3 categories of activities: basic research, applied research and experiments and development. The scale and intensity of R&amp;D are widely used internationally to reflect the strength of S&amp;T and the core competitiveness of a country in the world.</w:t>
      </w:r>
    </w:p>
    <w:p w:rsidR="00AF4805" w:rsidRPr="0065744A" w:rsidRDefault="00AF4805" w:rsidP="00AF4805">
      <w:pPr>
        <w:spacing w:line="360" w:lineRule="exact"/>
        <w:ind w:firstLineChars="200" w:firstLine="361"/>
        <w:rPr>
          <w:sz w:val="18"/>
          <w:szCs w:val="18"/>
        </w:rPr>
      </w:pPr>
      <w:r w:rsidRPr="0065744A">
        <w:rPr>
          <w:b/>
          <w:sz w:val="18"/>
          <w:szCs w:val="18"/>
        </w:rPr>
        <w:t>Professional and Technical Personnel</w:t>
      </w:r>
      <w:r>
        <w:rPr>
          <w:rFonts w:hint="eastAsia"/>
          <w:sz w:val="18"/>
          <w:szCs w:val="18"/>
        </w:rPr>
        <w:t xml:space="preserve"> </w:t>
      </w:r>
      <w:r w:rsidRPr="0065744A">
        <w:rPr>
          <w:sz w:val="18"/>
          <w:szCs w:val="18"/>
        </w:rPr>
        <w:t xml:space="preserve"> refer to persons engaged in professional and technical work or in the management of professional and technical activities, i.e., people with professional or technical positions who are engaged in professional and technical </w:t>
      </w:r>
      <w:r w:rsidRPr="0065744A">
        <w:rPr>
          <w:sz w:val="18"/>
          <w:szCs w:val="18"/>
        </w:rPr>
        <w:lastRenderedPageBreak/>
        <w:t>work or in the management of professional and technical activities, and people without professional or technical positions but are working on professional or technical posts. They include professionals and technicians working in 17 categories of technical occupations including engineering, agriculture, scientific researches, medical service, teaching, economic research and application, accounting, statistics, translation, libraries, archives, cultural and museum service, journalism and publication, lawyers, notarization service, radio and television broadcasting, handicraft and fine arts, sports, performing art, and political workers in enterprises. This indicator reflects the condition of human resources in S&amp;T.</w:t>
      </w:r>
    </w:p>
    <w:p w:rsidR="00AF4805" w:rsidRPr="0065744A" w:rsidRDefault="00AF4805" w:rsidP="00AF4805">
      <w:pPr>
        <w:spacing w:line="360" w:lineRule="exact"/>
        <w:ind w:firstLineChars="200" w:firstLine="361"/>
        <w:rPr>
          <w:sz w:val="18"/>
          <w:szCs w:val="18"/>
        </w:rPr>
      </w:pPr>
      <w:r w:rsidRPr="0065744A">
        <w:rPr>
          <w:b/>
          <w:sz w:val="18"/>
          <w:szCs w:val="18"/>
        </w:rPr>
        <w:t>Funding for S&amp;T Activities</w:t>
      </w:r>
      <w:r w:rsidRPr="0065744A">
        <w:rPr>
          <w:sz w:val="18"/>
          <w:szCs w:val="18"/>
        </w:rPr>
        <w:t xml:space="preserve"> </w:t>
      </w:r>
      <w:r>
        <w:rPr>
          <w:rFonts w:hint="eastAsia"/>
          <w:sz w:val="18"/>
          <w:szCs w:val="18"/>
        </w:rPr>
        <w:t xml:space="preserve"> </w:t>
      </w:r>
      <w:r w:rsidRPr="0065744A">
        <w:rPr>
          <w:sz w:val="18"/>
          <w:szCs w:val="18"/>
        </w:rPr>
        <w:t>refers to funds obtained from various sources for S&amp;T activities, including government funds, self-raised funds by enterprises, self-raised funds by institutions, loans from financial institutions, foreign funds and other funds. This indicator reflects the efforts made by various social economic entities in promoting the development of S&amp;T.</w:t>
      </w:r>
    </w:p>
    <w:p w:rsidR="00AF4805" w:rsidRPr="0065744A" w:rsidRDefault="00AF4805" w:rsidP="00AF4805">
      <w:pPr>
        <w:spacing w:line="360" w:lineRule="exact"/>
        <w:ind w:firstLineChars="200" w:firstLine="361"/>
        <w:rPr>
          <w:sz w:val="18"/>
          <w:szCs w:val="18"/>
        </w:rPr>
      </w:pPr>
      <w:r w:rsidRPr="0065744A">
        <w:rPr>
          <w:b/>
          <w:sz w:val="18"/>
          <w:szCs w:val="18"/>
        </w:rPr>
        <w:t>New Products</w:t>
      </w:r>
      <w:r>
        <w:rPr>
          <w:rFonts w:hint="eastAsia"/>
          <w:sz w:val="18"/>
          <w:szCs w:val="18"/>
        </w:rPr>
        <w:t xml:space="preserve"> </w:t>
      </w:r>
      <w:r w:rsidRPr="0065744A">
        <w:rPr>
          <w:sz w:val="18"/>
          <w:szCs w:val="18"/>
        </w:rPr>
        <w:t xml:space="preserve"> refer to new products produced with new technology and new design, or products that represent noticeable improvement in terms of structure, material, or production process so as to improve significantly the character or function of the older versions. They include new products certified by relevant government agencies within the period of certification, as well as new products designed and produced by enterprises within a year without certification by government agencies. This indictor reflects the direct contribution of S&amp;T output to economic growth.</w:t>
      </w:r>
    </w:p>
    <w:p w:rsidR="00AF4805" w:rsidRPr="0065744A" w:rsidRDefault="00AF4805" w:rsidP="00AF4805">
      <w:pPr>
        <w:spacing w:line="360" w:lineRule="exact"/>
        <w:ind w:firstLineChars="200" w:firstLine="361"/>
        <w:rPr>
          <w:sz w:val="18"/>
          <w:szCs w:val="18"/>
        </w:rPr>
      </w:pPr>
      <w:r w:rsidRPr="0065744A">
        <w:rPr>
          <w:b/>
          <w:sz w:val="18"/>
          <w:szCs w:val="18"/>
        </w:rPr>
        <w:t>Patent</w:t>
      </w:r>
      <w:r w:rsidRPr="00BE7073">
        <w:rPr>
          <w:sz w:val="18"/>
          <w:szCs w:val="18"/>
        </w:rPr>
        <w:t xml:space="preserve"> </w:t>
      </w:r>
      <w:r>
        <w:rPr>
          <w:rFonts w:hint="eastAsia"/>
          <w:sz w:val="18"/>
          <w:szCs w:val="18"/>
        </w:rPr>
        <w:t xml:space="preserve"> </w:t>
      </w:r>
      <w:r w:rsidRPr="00BE7073">
        <w:rPr>
          <w:sz w:val="18"/>
          <w:szCs w:val="18"/>
        </w:rPr>
        <w:t>is an abbreviation for the patent right and</w:t>
      </w:r>
      <w:r>
        <w:rPr>
          <w:rFonts w:hint="eastAsia"/>
          <w:sz w:val="18"/>
          <w:szCs w:val="18"/>
        </w:rPr>
        <w:t xml:space="preserve"> </w:t>
      </w:r>
      <w:r w:rsidRPr="0065744A">
        <w:rPr>
          <w:sz w:val="18"/>
          <w:szCs w:val="18"/>
        </w:rPr>
        <w:t xml:space="preserve">refers to the exclusive right of ownership by the inventors or designers for the creation or inventions, given from the patent offices after due process of assessment and approval in accordance with the Patent Law. Patents are granted for inventions, utility models and designs. This indicator reflects the achievements of S&amp;T and design with independent intellectual property. </w:t>
      </w:r>
    </w:p>
    <w:p w:rsidR="00AF4805" w:rsidRPr="0065744A" w:rsidRDefault="00AF4805" w:rsidP="00AF4805">
      <w:pPr>
        <w:spacing w:line="360" w:lineRule="exact"/>
        <w:ind w:firstLineChars="200" w:firstLine="361"/>
        <w:rPr>
          <w:sz w:val="18"/>
          <w:szCs w:val="18"/>
        </w:rPr>
      </w:pPr>
      <w:r w:rsidRPr="00BE7073">
        <w:rPr>
          <w:b/>
          <w:sz w:val="18"/>
          <w:szCs w:val="18"/>
        </w:rPr>
        <w:t>Inventions</w:t>
      </w:r>
      <w:r w:rsidRPr="0065744A">
        <w:rPr>
          <w:sz w:val="18"/>
          <w:szCs w:val="18"/>
        </w:rPr>
        <w:t xml:space="preserve"> </w:t>
      </w:r>
      <w:r>
        <w:rPr>
          <w:rFonts w:hint="eastAsia"/>
          <w:sz w:val="18"/>
          <w:szCs w:val="18"/>
        </w:rPr>
        <w:t xml:space="preserve"> </w:t>
      </w:r>
      <w:r w:rsidRPr="0065744A">
        <w:rPr>
          <w:sz w:val="18"/>
          <w:szCs w:val="18"/>
        </w:rPr>
        <w:t>refer to the new technical proposals to the products or methods or their modifications. This is universal core indicator reflecting the technologies with independent intellectual property.</w:t>
      </w:r>
    </w:p>
    <w:p w:rsidR="00AF4805" w:rsidRPr="0065744A" w:rsidRDefault="00AF4805" w:rsidP="00AF4805">
      <w:pPr>
        <w:spacing w:line="360" w:lineRule="exact"/>
        <w:ind w:firstLineChars="200" w:firstLine="361"/>
        <w:rPr>
          <w:sz w:val="18"/>
          <w:szCs w:val="18"/>
        </w:rPr>
      </w:pPr>
      <w:r w:rsidRPr="00BE7073">
        <w:rPr>
          <w:b/>
          <w:sz w:val="18"/>
          <w:szCs w:val="18"/>
        </w:rPr>
        <w:t>Regular Institutions of Higher Learning</w:t>
      </w:r>
      <w:r>
        <w:rPr>
          <w:rFonts w:hint="eastAsia"/>
          <w:sz w:val="18"/>
          <w:szCs w:val="18"/>
        </w:rPr>
        <w:t xml:space="preserve">  </w:t>
      </w:r>
      <w:r w:rsidRPr="0065744A">
        <w:rPr>
          <w:sz w:val="18"/>
          <w:szCs w:val="18"/>
        </w:rPr>
        <w:t>refer to educational establishments set up according to the government evaluation and approval procedures, enrolling graduates from senior secondary schools and providing higher education courses and training for senior professionals. They include full-time universities, colleges, high professional schools, high professional vocational schools and others.</w:t>
      </w:r>
    </w:p>
    <w:p w:rsidR="00AF4805" w:rsidRPr="0065744A" w:rsidRDefault="00AF4805" w:rsidP="00AF4805">
      <w:pPr>
        <w:spacing w:line="360" w:lineRule="exact"/>
        <w:ind w:firstLineChars="200" w:firstLine="360"/>
        <w:rPr>
          <w:sz w:val="18"/>
          <w:szCs w:val="18"/>
        </w:rPr>
      </w:pPr>
      <w:r w:rsidRPr="0065744A">
        <w:rPr>
          <w:sz w:val="18"/>
          <w:szCs w:val="18"/>
        </w:rPr>
        <w:t>Universities and colleges are mainly providing undergraduate courses; those high professional schools and high professional vocational schools are mainly providing professional trainings; and others refer to educational establishments, which are responsible for enrolling students but not covered in the total number of schools, including: branch schools of universities and colleges, and universities and colleges that have been proved and prepared to construct.</w:t>
      </w:r>
    </w:p>
    <w:p w:rsidR="00AF4805" w:rsidRPr="0065744A" w:rsidRDefault="00AF4805" w:rsidP="00AF4805">
      <w:pPr>
        <w:spacing w:line="360" w:lineRule="exact"/>
        <w:ind w:firstLineChars="200" w:firstLine="361"/>
        <w:rPr>
          <w:sz w:val="18"/>
          <w:szCs w:val="18"/>
        </w:rPr>
      </w:pPr>
      <w:r w:rsidRPr="00BE7073">
        <w:rPr>
          <w:b/>
          <w:sz w:val="18"/>
          <w:szCs w:val="18"/>
        </w:rPr>
        <w:t>Institutions of Higher Learning for Adults</w:t>
      </w:r>
      <w:r w:rsidRPr="0065744A">
        <w:rPr>
          <w:sz w:val="18"/>
          <w:szCs w:val="18"/>
        </w:rPr>
        <w:t xml:space="preserve"> </w:t>
      </w:r>
      <w:r>
        <w:rPr>
          <w:rFonts w:hint="eastAsia"/>
          <w:sz w:val="18"/>
          <w:szCs w:val="18"/>
        </w:rPr>
        <w:t xml:space="preserve"> </w:t>
      </w:r>
      <w:r w:rsidRPr="0065744A">
        <w:rPr>
          <w:sz w:val="18"/>
          <w:szCs w:val="18"/>
        </w:rPr>
        <w:t xml:space="preserve">refer to educational establishments, set up in line with relevant rules approved by the government, enrolling staff and workers with senior secondary school or equivalent education, and providing higher education courses in many forms of correspondence, spare time, or full time for adults. Professionals thus trained receive a qualification equivalent to graduates studying regular courses at regular universities, colleges and professional colleges. Institutions of higher learning for adults include schools of high education for staff and workers, schools of high education for peasants, colleges for management cadres, pedagogical colleges, independent correspondence colleges, Radio and TV universities and other educational establishments. Other educational establishments are responsible for enrolling adult students but not covered in the number of schools.  </w:t>
      </w:r>
    </w:p>
    <w:p w:rsidR="00AF4805" w:rsidRPr="0065744A" w:rsidRDefault="00AF4805" w:rsidP="00AF4805">
      <w:pPr>
        <w:spacing w:line="360" w:lineRule="exact"/>
        <w:ind w:firstLineChars="200" w:firstLine="361"/>
        <w:rPr>
          <w:sz w:val="18"/>
          <w:szCs w:val="18"/>
        </w:rPr>
      </w:pPr>
      <w:r w:rsidRPr="00BE7073">
        <w:rPr>
          <w:b/>
          <w:sz w:val="18"/>
          <w:szCs w:val="18"/>
        </w:rPr>
        <w:t>Enrollment Rate of Primary School Age Children</w:t>
      </w:r>
      <w:r w:rsidRPr="0065744A">
        <w:rPr>
          <w:sz w:val="18"/>
          <w:szCs w:val="18"/>
        </w:rPr>
        <w:t xml:space="preserve"> refers to the proportion of school age children enrolled at schools to the total number of school age children both in and outside schools (including retarded children, but excluding blind, deaf and mute children). The formula is: </w:t>
      </w:r>
    </w:p>
    <w:p w:rsidR="00AF4805" w:rsidRDefault="00AF4805" w:rsidP="00AF4805">
      <w:pPr>
        <w:spacing w:line="360" w:lineRule="exact"/>
        <w:ind w:firstLineChars="200" w:firstLine="360"/>
      </w:pPr>
      <w:r w:rsidRPr="0065744A">
        <w:rPr>
          <w:sz w:val="18"/>
          <w:szCs w:val="18"/>
        </w:rPr>
        <w:t>Enrollment Rate of Primary School-age Children = (Total Primary School-age Children at Schools)/(</w:t>
      </w:r>
      <w:smartTag w:uri="urn:schemas-microsoft-com:office:smarttags" w:element="PlaceName">
        <w:r w:rsidRPr="0065744A">
          <w:rPr>
            <w:sz w:val="18"/>
            <w:szCs w:val="18"/>
          </w:rPr>
          <w:t>Total</w:t>
        </w:r>
      </w:smartTag>
      <w:r w:rsidRPr="0065744A">
        <w:rPr>
          <w:sz w:val="18"/>
          <w:szCs w:val="18"/>
        </w:rPr>
        <w:t xml:space="preserve"> </w:t>
      </w:r>
      <w:smartTag w:uri="urn:schemas-microsoft-com:office:smarttags" w:element="PlaceType">
        <w:r w:rsidRPr="0065744A">
          <w:rPr>
            <w:sz w:val="18"/>
            <w:szCs w:val="18"/>
          </w:rPr>
          <w:t>Primary School</w:t>
        </w:r>
      </w:smartTag>
      <w:r w:rsidRPr="0065744A">
        <w:rPr>
          <w:sz w:val="18"/>
          <w:szCs w:val="18"/>
        </w:rPr>
        <w:t xml:space="preserve"> age Children Both at and </w:t>
      </w:r>
      <w:smartTag w:uri="urn:schemas-microsoft-com:office:smarttags" w:element="place">
        <w:smartTag w:uri="urn:schemas-microsoft-com:office:smarttags" w:element="PlaceName">
          <w:r w:rsidRPr="0065744A">
            <w:rPr>
              <w:sz w:val="18"/>
              <w:szCs w:val="18"/>
            </w:rPr>
            <w:t>Outside</w:t>
          </w:r>
        </w:smartTag>
        <w:r w:rsidRPr="0065744A">
          <w:rPr>
            <w:sz w:val="18"/>
            <w:szCs w:val="18"/>
          </w:rPr>
          <w:t xml:space="preserve"> </w:t>
        </w:r>
        <w:smartTag w:uri="urn:schemas-microsoft-com:office:smarttags" w:element="PlaceType">
          <w:r w:rsidRPr="0065744A">
            <w:rPr>
              <w:sz w:val="18"/>
              <w:szCs w:val="18"/>
            </w:rPr>
            <w:t>Schools</w:t>
          </w:r>
        </w:smartTag>
      </w:smartTag>
      <w:r w:rsidRPr="0065744A">
        <w:rPr>
          <w:sz w:val="18"/>
          <w:szCs w:val="18"/>
        </w:rPr>
        <w:t>) x 100%</w:t>
      </w:r>
    </w:p>
    <w:p w:rsidR="004C6226" w:rsidRPr="00AF4805" w:rsidRDefault="00AF4805">
      <w:pPr>
        <w:rPr>
          <w:rFonts w:hint="eastAsia"/>
        </w:rPr>
      </w:pPr>
      <w:bookmarkStart w:id="0" w:name="_GoBack"/>
      <w:bookmarkEnd w:id="0"/>
    </w:p>
    <w:sectPr w:rsidR="004C6226" w:rsidRPr="00AF4805" w:rsidSect="00427D52">
      <w:headerReference w:type="even" r:id="rId4"/>
      <w:headerReference w:type="default" r:id="rId5"/>
      <w:footerReference w:type="even" r:id="rId6"/>
      <w:footerReference w:type="default" r:id="rId7"/>
      <w:headerReference w:type="first" r:id="rId8"/>
      <w:footerReference w:type="first" r:id="rId9"/>
      <w:pgSz w:w="11906" w:h="16838" w:code="9"/>
      <w:pgMar w:top="1021" w:right="1077" w:bottom="1247" w:left="1077" w:header="510" w:footer="624" w:gutter="0"/>
      <w:pgNumType w:start="415"/>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汉仪中黑简">
    <w:altName w:val="Arial Unicode MS"/>
    <w:charset w:val="86"/>
    <w:family w:val="modern"/>
    <w:pitch w:val="fixed"/>
    <w:sig w:usb0="00000000" w:usb1="080E0800" w:usb2="00000012" w:usb3="00000000" w:csb0="00040000" w:csb1="00000000"/>
  </w:font>
  <w:font w:name="华文中宋">
    <w:panose1 w:val="02010600040101010101"/>
    <w:charset w:val="86"/>
    <w:family w:val="auto"/>
    <w:pitch w:val="variable"/>
    <w:sig w:usb0="00000287" w:usb1="080F0000" w:usb2="00000010" w:usb3="00000000" w:csb0="0004009F" w:csb1="00000000"/>
  </w:font>
  <w:font w:name="汉仪书宋一简">
    <w:altName w:val="Arial Unicode MS"/>
    <w:charset w:val="86"/>
    <w:family w:val="modern"/>
    <w:pitch w:val="fixed"/>
    <w:sig w:usb0="00000000" w:usb1="080E0800" w:usb2="00000012" w:usb3="00000000" w:csb0="00040000" w:csb1="00000000"/>
  </w:font>
  <w:font w:name="汉仪报宋简">
    <w:altName w:val="Arial Unicode MS"/>
    <w:charset w:val="86"/>
    <w:family w:val="modern"/>
    <w:pitch w:val="fixed"/>
    <w:sig w:usb0="00000000" w:usb1="080E0800" w:usb2="00000012"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1F2D" w:rsidRPr="009216AE" w:rsidRDefault="00AF4805" w:rsidP="00862778">
    <w:pPr>
      <w:pStyle w:val="a3"/>
      <w:framePr w:w="458" w:wrap="around" w:vAnchor="text" w:hAnchor="page" w:x="1621" w:y="195"/>
      <w:jc w:val="center"/>
      <w:rPr>
        <w:rStyle w:val="a4"/>
      </w:rPr>
    </w:pPr>
    <w:r w:rsidRPr="009216AE">
      <w:rPr>
        <w:rStyle w:val="a4"/>
      </w:rPr>
      <w:fldChar w:fldCharType="begin"/>
    </w:r>
    <w:r w:rsidRPr="009216AE">
      <w:rPr>
        <w:rStyle w:val="a4"/>
      </w:rPr>
      <w:instrText xml:space="preserve">PAGE  </w:instrText>
    </w:r>
    <w:r w:rsidRPr="009216AE">
      <w:rPr>
        <w:rStyle w:val="a4"/>
      </w:rPr>
      <w:fldChar w:fldCharType="separate"/>
    </w:r>
    <w:r>
      <w:rPr>
        <w:rStyle w:val="a4"/>
        <w:noProof/>
      </w:rPr>
      <w:t>454</w:t>
    </w:r>
    <w:r w:rsidRPr="009216AE">
      <w:rPr>
        <w:rStyle w:val="a4"/>
      </w:rPr>
      <w:fldChar w:fldCharType="end"/>
    </w:r>
  </w:p>
  <w:p w:rsidR="00E91F2D" w:rsidRDefault="00AF4805" w:rsidP="00D256C6">
    <w:pPr>
      <w:pStyle w:val="a3"/>
      <w:tabs>
        <w:tab w:val="clear" w:pos="4153"/>
        <w:tab w:val="clear" w:pos="8306"/>
      </w:tabs>
      <w:ind w:right="88"/>
    </w:pPr>
    <w:r>
      <w:rPr>
        <w:noProof/>
      </w:rPr>
      <w:drawing>
        <wp:inline distT="0" distB="0" distL="0" distR="0">
          <wp:extent cx="822960" cy="365760"/>
          <wp:effectExtent l="0" t="0" r="0" b="0"/>
          <wp:docPr id="2" name="图片 2" descr="左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左页"/>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2960" cy="365760"/>
                  </a:xfrm>
                  <a:prstGeom prst="rect">
                    <a:avLst/>
                  </a:prstGeom>
                  <a:noFill/>
                  <a:ln>
                    <a:noFill/>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1F2D" w:rsidRPr="00D56662" w:rsidRDefault="00AF4805" w:rsidP="00862778">
    <w:pPr>
      <w:pStyle w:val="a3"/>
      <w:framePr w:w="414" w:wrap="around" w:vAnchor="text" w:hAnchor="page" w:x="9849" w:y="210"/>
      <w:jc w:val="center"/>
      <w:rPr>
        <w:rStyle w:val="a4"/>
      </w:rPr>
    </w:pPr>
    <w:r w:rsidRPr="00D56662">
      <w:rPr>
        <w:rStyle w:val="a4"/>
      </w:rPr>
      <w:fldChar w:fldCharType="begin"/>
    </w:r>
    <w:r w:rsidRPr="00D56662">
      <w:rPr>
        <w:rStyle w:val="a4"/>
      </w:rPr>
      <w:instrText>PAG</w:instrText>
    </w:r>
    <w:r w:rsidRPr="00D56662">
      <w:rPr>
        <w:rStyle w:val="a4"/>
      </w:rPr>
      <w:instrText xml:space="preserve">E  </w:instrText>
    </w:r>
    <w:r w:rsidRPr="00D56662">
      <w:rPr>
        <w:rStyle w:val="a4"/>
      </w:rPr>
      <w:fldChar w:fldCharType="separate"/>
    </w:r>
    <w:r>
      <w:rPr>
        <w:rStyle w:val="a4"/>
        <w:noProof/>
      </w:rPr>
      <w:t>415</w:t>
    </w:r>
    <w:r w:rsidRPr="00D56662">
      <w:rPr>
        <w:rStyle w:val="a4"/>
      </w:rPr>
      <w:fldChar w:fldCharType="end"/>
    </w:r>
  </w:p>
  <w:p w:rsidR="00E91F2D" w:rsidRDefault="00AF4805" w:rsidP="00D56662">
    <w:pPr>
      <w:pStyle w:val="a3"/>
      <w:tabs>
        <w:tab w:val="clear" w:pos="4153"/>
        <w:tab w:val="clear" w:pos="8306"/>
      </w:tabs>
      <w:ind w:right="23"/>
      <w:jc w:val="right"/>
      <w:rPr>
        <w:rFonts w:hint="eastAsia"/>
      </w:rPr>
    </w:pPr>
    <w:r>
      <w:rPr>
        <w:rFonts w:hint="eastAsia"/>
        <w:noProof/>
      </w:rPr>
      <w:drawing>
        <wp:inline distT="0" distB="0" distL="0" distR="0">
          <wp:extent cx="822960" cy="365760"/>
          <wp:effectExtent l="0" t="0" r="0" b="0"/>
          <wp:docPr id="1" name="图片 1" descr="右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右页"/>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2960" cy="365760"/>
                  </a:xfrm>
                  <a:prstGeom prst="rect">
                    <a:avLst/>
                  </a:prstGeom>
                  <a:noFill/>
                  <a:ln>
                    <a:noFill/>
                  </a:ln>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49B" w:rsidRDefault="00AF4805">
    <w:pPr>
      <w:pStyle w:val="a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6AE" w:rsidRDefault="00AF4805" w:rsidP="009216AE">
    <w:r>
      <w:rPr>
        <w:noProof/>
      </w:rPr>
      <mc:AlternateContent>
        <mc:Choice Requires="wps">
          <w:drawing>
            <wp:anchor distT="0" distB="0" distL="114300" distR="114300" simplePos="0" relativeHeight="251660288" behindDoc="0" locked="0" layoutInCell="1" allowOverlap="1">
              <wp:simplePos x="0" y="0"/>
              <wp:positionH relativeFrom="column">
                <wp:posOffset>450215</wp:posOffset>
              </wp:positionH>
              <wp:positionV relativeFrom="paragraph">
                <wp:posOffset>80645</wp:posOffset>
              </wp:positionV>
              <wp:extent cx="2592705" cy="109220"/>
              <wp:effectExtent l="2540" t="4445" r="0" b="635"/>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2705"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16AE" w:rsidRPr="009216AE" w:rsidRDefault="00AF4805" w:rsidP="009216AE">
                          <w:pPr>
                            <w:rPr>
                              <w:rFonts w:eastAsia="汉仪报宋简"/>
                              <w:sz w:val="15"/>
                              <w:szCs w:val="15"/>
                            </w:rPr>
                          </w:pPr>
                          <w:r>
                            <w:rPr>
                              <w:rFonts w:eastAsia="汉仪报宋简" w:hint="eastAsia"/>
                              <w:sz w:val="15"/>
                              <w:szCs w:val="15"/>
                            </w:rPr>
                            <w:t>Science, Technology and Education</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6" o:spid="_x0000_s1026" type="#_x0000_t202" style="position:absolute;left:0;text-align:left;margin-left:35.45pt;margin-top:6.35pt;width:204.15pt;height:8.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" filled="f" stroked="f">
              <v:textbox style="mso-fit-shape-to-text:t" inset="0,0,0,0">
                <w:txbxContent>
                  <w:p w:rsidR="009216AE" w:rsidRPr="009216AE" w:rsidRDefault="00AF4805" w:rsidP="009216AE">
                    <w:pPr>
                      <w:rPr>
                        <w:rFonts w:eastAsia="汉仪报宋简"/>
                        <w:sz w:val="15"/>
                        <w:szCs w:val="15"/>
                      </w:rPr>
                    </w:pPr>
                    <w:r>
                      <w:rPr>
                        <w:rFonts w:eastAsia="汉仪报宋简" w:hint="eastAsia"/>
                        <w:sz w:val="15"/>
                        <w:szCs w:val="15"/>
                      </w:rPr>
                      <w:t>Science, Technology and Education</w:t>
                    </w:r>
                  </w:p>
                </w:txbxContent>
              </v:textbox>
            </v:shape>
          </w:pict>
        </mc:Fallback>
      </mc:AlternateContent>
    </w:r>
    <w:r>
      <w:rPr>
        <w:rFonts w:hint="eastAsia"/>
        <w:noProof/>
      </w:rPr>
      <w:drawing>
        <wp:inline distT="0" distB="0" distL="0" distR="0">
          <wp:extent cx="274320" cy="274320"/>
          <wp:effectExtent l="0" t="0" r="0" b="0"/>
          <wp:docPr id="4" name="图片 4" descr="Untitled-1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titled-1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EE4" w:rsidRPr="00694384" w:rsidRDefault="00AF4805" w:rsidP="00694384">
    <w:pPr>
      <w:jc w:val="right"/>
      <w:rPr>
        <w:rFonts w:hint="eastAsia"/>
        <w:szCs w:val="18"/>
      </w:rPr>
    </w:pPr>
    <w:r>
      <w:rPr>
        <w:rFonts w:hint="eastAsia"/>
        <w:noProof/>
      </w:rPr>
      <mc:AlternateContent>
        <mc:Choice Requires="wps">
          <w:drawing>
            <wp:anchor distT="0" distB="0" distL="114300" distR="114300" simplePos="0" relativeHeight="251659264" behindDoc="0" locked="0" layoutInCell="1" allowOverlap="1">
              <wp:simplePos x="0" y="0"/>
              <wp:positionH relativeFrom="column">
                <wp:posOffset>4862830</wp:posOffset>
              </wp:positionH>
              <wp:positionV relativeFrom="paragraph">
                <wp:posOffset>83185</wp:posOffset>
              </wp:positionV>
              <wp:extent cx="905510" cy="165735"/>
              <wp:effectExtent l="0" t="0" r="3810" b="254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55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94384" w:rsidRPr="00806140" w:rsidRDefault="00AF4805" w:rsidP="00694384">
                          <w:pPr>
                            <w:jc w:val="right"/>
                            <w:rPr>
                              <w:rFonts w:ascii="汉仪书宋一简" w:eastAsia="汉仪书宋一简" w:hint="eastAsia"/>
                              <w:sz w:val="15"/>
                              <w:szCs w:val="15"/>
                            </w:rPr>
                          </w:pPr>
                          <w:r>
                            <w:rPr>
                              <w:rFonts w:ascii="汉仪书宋一简" w:eastAsia="汉仪书宋一简" w:hint="eastAsia"/>
                              <w:sz w:val="15"/>
                              <w:szCs w:val="15"/>
                            </w:rPr>
                            <w:t>科技和教育</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5" o:spid="_x0000_s1027" type="#_x0000_t202" style="position:absolute;left:0;text-align:left;margin-left:382.9pt;margin-top:6.55pt;width:71.3pt;height:13.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" filled="f" stroked="f">
              <v:textbox style="mso-fit-shape-to-text:t" inset="0,0,0,0">
                <w:txbxContent>
                  <w:p w:rsidR="00694384" w:rsidRPr="00806140" w:rsidRDefault="00AF4805" w:rsidP="00694384">
                    <w:pPr>
                      <w:jc w:val="right"/>
                      <w:rPr>
                        <w:rFonts w:ascii="汉仪书宋一简" w:eastAsia="汉仪书宋一简" w:hint="eastAsia"/>
                        <w:sz w:val="15"/>
                        <w:szCs w:val="15"/>
                      </w:rPr>
                    </w:pPr>
                    <w:r>
                      <w:rPr>
                        <w:rFonts w:ascii="汉仪书宋一简" w:eastAsia="汉仪书宋一简" w:hint="eastAsia"/>
                        <w:sz w:val="15"/>
                        <w:szCs w:val="15"/>
                      </w:rPr>
                      <w:t>科技和教育</w:t>
                    </w:r>
                  </w:p>
                </w:txbxContent>
              </v:textbox>
            </v:shape>
          </w:pict>
        </mc:Fallback>
      </mc:AlternateContent>
    </w:r>
    <w:r>
      <w:rPr>
        <w:rFonts w:hint="eastAsia"/>
        <w:noProof/>
      </w:rPr>
      <w:drawing>
        <wp:inline distT="0" distB="0" distL="0" distR="0">
          <wp:extent cx="274320" cy="274320"/>
          <wp:effectExtent l="0" t="0" r="0" b="0"/>
          <wp:docPr id="3" name="图片 3" descr="Untitled-1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titled-1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49B" w:rsidRDefault="00AF4805">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805"/>
    <w:rsid w:val="00AF4805"/>
    <w:rsid w:val="00BA4E86"/>
    <w:rsid w:val="00BF50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9310C101-9359-4B49-9642-714247B2E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AF4805"/>
    <w:pPr>
      <w:tabs>
        <w:tab w:val="center" w:pos="4153"/>
        <w:tab w:val="right" w:pos="8306"/>
      </w:tabs>
      <w:snapToGrid w:val="0"/>
      <w:jc w:val="left"/>
    </w:pPr>
    <w:rPr>
      <w:rFonts w:ascii="Times New Roman" w:eastAsia="宋体" w:hAnsi="Times New Roman" w:cs="Times New Roman"/>
      <w:sz w:val="18"/>
      <w:szCs w:val="18"/>
    </w:rPr>
  </w:style>
  <w:style w:type="character" w:customStyle="1" w:styleId="Char">
    <w:name w:val="页脚 Char"/>
    <w:basedOn w:val="a0"/>
    <w:link w:val="a3"/>
    <w:rsid w:val="00AF4805"/>
    <w:rPr>
      <w:rFonts w:ascii="Times New Roman" w:eastAsia="宋体" w:hAnsi="Times New Roman" w:cs="Times New Roman"/>
      <w:sz w:val="18"/>
      <w:szCs w:val="18"/>
    </w:rPr>
  </w:style>
  <w:style w:type="character" w:styleId="a4">
    <w:name w:val="page number"/>
    <w:basedOn w:val="a0"/>
    <w:rsid w:val="00AF4805"/>
  </w:style>
  <w:style w:type="paragraph" w:styleId="a5">
    <w:name w:val="header"/>
    <w:basedOn w:val="a"/>
    <w:link w:val="Char0"/>
    <w:rsid w:val="00AF4805"/>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0">
    <w:name w:val="页眉 Char"/>
    <w:basedOn w:val="a0"/>
    <w:link w:val="a5"/>
    <w:rsid w:val="00AF4805"/>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header" Target="header2.xml"/><Relationship Id="rId10" Type="http://schemas.openxmlformats.org/officeDocument/2006/relationships/fontTable" Target="fontTable.xml"/><Relationship Id="rId4" Type="http://schemas.openxmlformats.org/officeDocument/2006/relationships/header" Target="header1.xml"/><Relationship Id="rId9"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1501</Words>
  <Characters>8557</Characters>
  <Application>Microsoft Office Word</Application>
  <DocSecurity>0</DocSecurity>
  <Lines>71</Lines>
  <Paragraphs>20</Paragraphs>
  <ScaleCrop>false</ScaleCrop>
  <Company> </Company>
  <LinksUpToDate>false</LinksUpToDate>
  <CharactersWithSpaces>10038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cp:revision>
  <dcterms:created xsi:type="dcterms:W3CDTF">2016-08-08T02:38:00Z</dcterms:created>
  <dcterms:modified xsi:type="dcterms:W3CDTF">2016-08-08T02:39:00Z</dcterms:modified>
</cp:coreProperties>
</file>