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A2F" w:rsidRPr="007226FD" w:rsidRDefault="00186A2F" w:rsidP="00186A2F">
      <w:pPr>
        <w:shd w:val="clear" w:color="auto" w:fill="B3B3B3"/>
        <w:jc w:val="center"/>
        <w:rPr>
          <w:rFonts w:ascii="汉仪中黑简" w:eastAsia="汉仪中黑简" w:hAnsi="华文中宋" w:cs="汉仪中黑简" w:hint="eastAsia"/>
          <w:kern w:val="0"/>
          <w:sz w:val="32"/>
          <w:szCs w:val="32"/>
        </w:rPr>
      </w:pPr>
    </w:p>
    <w:p w:rsidR="00186A2F" w:rsidRPr="00186A2F" w:rsidRDefault="00186A2F" w:rsidP="00186A2F">
      <w:pPr>
        <w:shd w:val="clear" w:color="auto" w:fill="B3B3B3"/>
        <w:jc w:val="center"/>
        <w:rPr>
          <w:rFonts w:ascii="汉仪中黑简" w:eastAsia="汉仪中黑简" w:hint="eastAsia"/>
          <w:outline/>
          <w:color w:val="BFBFBF" w:themeColor="background1" w:themeShade="BF"/>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186A2F">
        <w:rPr>
          <w:rFonts w:ascii="汉仪中黑简" w:eastAsia="汉仪中黑简" w:hint="eastAsia"/>
          <w:outline/>
          <w:color w:val="BFBFBF" w:themeColor="background1" w:themeShade="BF"/>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主要统计指标解释</w:t>
      </w:r>
    </w:p>
    <w:p w:rsidR="00186A2F" w:rsidRPr="00E602DD" w:rsidRDefault="00186A2F" w:rsidP="00186A2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beforeLines="50" w:before="156" w:afterLines="50" w:after="156"/>
        <w:jc w:val="center"/>
        <w:rPr>
          <w:rFonts w:ascii="汉仪中黑简" w:eastAsia="汉仪中黑简" w:hAnsi="华文中宋" w:cs="汉仪中黑简" w:hint="eastAsia"/>
          <w:kern w:val="0"/>
          <w:szCs w:val="21"/>
        </w:rPr>
      </w:pP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社会福利事业单位</w:t>
      </w:r>
      <w:r w:rsidRPr="00DD6AE6">
        <w:rPr>
          <w:rFonts w:ascii="汉仪书宋一简" w:eastAsia="汉仪书宋一简" w:hint="eastAsia"/>
          <w:sz w:val="18"/>
          <w:szCs w:val="18"/>
        </w:rPr>
        <w:t xml:space="preserve">  指集中收养社会孤老、残、幼的机构，包括由民政部门管理的社会福利院、儿童福利院、精神病人福利院和城镇集体举办的福利院及农村集体举办的敬老院以及优抚医院和具有收养能力的社区服务中心等。该指标主要反映我国在社会福利性单位投入的水平。</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社会福利事业单位收养人数</w:t>
      </w:r>
      <w:r w:rsidRPr="00DD6AE6">
        <w:rPr>
          <w:rFonts w:ascii="汉仪书宋一简" w:eastAsia="汉仪书宋一简" w:hint="eastAsia"/>
          <w:sz w:val="18"/>
          <w:szCs w:val="18"/>
        </w:rPr>
        <w:t xml:space="preserve">  包括民政部门管理和城镇、农村集体举办的社会福利事业单位中收养的老人、少年儿童、缺乏生活自理能力的残疾人员和精神病人。该指标主要反映收养性社会福利单位的收养能力。</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社会福利企业单位</w:t>
      </w:r>
      <w:r w:rsidRPr="00DD6AE6">
        <w:rPr>
          <w:rFonts w:ascii="汉仪书宋一简" w:eastAsia="汉仪书宋一简" w:hint="eastAsia"/>
          <w:sz w:val="18"/>
          <w:szCs w:val="18"/>
        </w:rPr>
        <w:t xml:space="preserve">  指以安置城镇有一定劳动能力的盲、聋、哑和肢体残疾人员就业为目的，享受国家减免税待遇的国有或集体企业。包括福利工厂、福利商业和服务业、假肢厂和安置农场等单位。该指标主要反映我国对残疾人照顾的特殊政策。</w:t>
      </w:r>
    </w:p>
    <w:p w:rsidR="00186A2F" w:rsidRPr="00DD6AE6" w:rsidRDefault="00186A2F" w:rsidP="00186A2F">
      <w:pPr>
        <w:spacing w:line="330" w:lineRule="exact"/>
        <w:ind w:firstLineChars="200" w:firstLine="360"/>
        <w:rPr>
          <w:rFonts w:hint="eastAsia"/>
        </w:rPr>
      </w:pPr>
      <w:r w:rsidRPr="00DD6AE6">
        <w:rPr>
          <w:rFonts w:ascii="汉仪书宋一简" w:eastAsia="汉仪书宋一简" w:hint="eastAsia"/>
          <w:b/>
          <w:sz w:val="18"/>
          <w:szCs w:val="18"/>
        </w:rPr>
        <w:t>粗离婚率</w:t>
      </w:r>
      <w:r w:rsidRPr="00DD6AE6">
        <w:rPr>
          <w:rFonts w:ascii="汉仪书宋一简" w:eastAsia="汉仪书宋一简" w:hint="eastAsia"/>
          <w:sz w:val="18"/>
          <w:szCs w:val="18"/>
        </w:rPr>
        <w:t xml:space="preserve">  指当年离婚对数占年平均人口的比重，计算公</w:t>
      </w:r>
      <w:r w:rsidRPr="00F238AA">
        <w:rPr>
          <w:rFonts w:ascii="汉仪书宋一简" w:eastAsia="汉仪书宋一简" w:hint="eastAsia"/>
          <w:sz w:val="18"/>
          <w:szCs w:val="18"/>
        </w:rPr>
        <w:t>式为：</w:t>
      </w:r>
    </w:p>
    <w:p w:rsidR="00186A2F" w:rsidRDefault="00186A2F" w:rsidP="00186A2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N w:val="0"/>
        <w:adjustRightInd w:val="0"/>
        <w:snapToGrid w:val="0"/>
        <w:spacing w:line="200" w:lineRule="exact"/>
        <w:ind w:firstLine="397"/>
        <w:rPr>
          <w:rFonts w:ascii="汉仪书宋一简" w:eastAsia="汉仪书宋一简" w:hAnsi="宋体" w:cs="汉仪书宋一简" w:hint="eastAsia"/>
          <w:kern w:val="0"/>
          <w:sz w:val="18"/>
          <w:szCs w:val="18"/>
        </w:rPr>
      </w:pPr>
    </w:p>
    <w:p w:rsidR="00186A2F" w:rsidRPr="00DD6AE6" w:rsidRDefault="00186A2F" w:rsidP="00186A2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N w:val="0"/>
        <w:adjustRightInd w:val="0"/>
        <w:snapToGrid w:val="0"/>
        <w:spacing w:line="200" w:lineRule="exact"/>
        <w:ind w:firstLine="397"/>
        <w:rPr>
          <w:rFonts w:ascii="汉仪书宋一简" w:eastAsia="汉仪书宋一简" w:hAnsi="宋体" w:cs="汉仪书宋一简" w:hint="eastAsia"/>
          <w:kern w:val="0"/>
          <w:sz w:val="18"/>
          <w:szCs w:val="18"/>
        </w:rPr>
      </w:pPr>
      <w:r w:rsidRPr="00DD6AE6">
        <w:rPr>
          <w:rFonts w:ascii="汉仪书宋一简" w:eastAsia="汉仪书宋一简" w:hAnsi="宋体" w:cs="汉仪书宋一简" w:hint="eastAsia"/>
          <w:kern w:val="0"/>
          <w:sz w:val="18"/>
          <w:szCs w:val="18"/>
        </w:rPr>
        <w:t xml:space="preserve">           当年离婚对数</w:t>
      </w:r>
    </w:p>
    <w:p w:rsidR="00186A2F" w:rsidRPr="00DD6AE6" w:rsidRDefault="00186A2F" w:rsidP="00186A2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N w:val="0"/>
        <w:adjustRightInd w:val="0"/>
        <w:snapToGrid w:val="0"/>
        <w:spacing w:line="200" w:lineRule="exact"/>
        <w:ind w:firstLine="397"/>
        <w:rPr>
          <w:rFonts w:ascii="汉仪书宋一简" w:eastAsia="汉仪书宋一简" w:hAnsi="宋体" w:cs="汉仪书宋一简" w:hint="eastAsia"/>
          <w:kern w:val="0"/>
          <w:sz w:val="18"/>
          <w:szCs w:val="18"/>
        </w:rPr>
      </w:pPr>
      <w:r w:rsidRPr="00DD6AE6">
        <w:rPr>
          <w:rFonts w:ascii="汉仪书宋一简" w:eastAsia="汉仪书宋一简" w:hAnsi="宋体" w:cs="汉仪书宋一简" w:hint="eastAsia"/>
          <w:kern w:val="0"/>
          <w:sz w:val="18"/>
          <w:szCs w:val="18"/>
        </w:rPr>
        <w:t>粗离婚率=</w:t>
      </w:r>
      <w:r w:rsidRPr="00DD6AE6">
        <w:rPr>
          <w:rFonts w:ascii="汉仪书宋一简" w:eastAsia="汉仪书宋一简" w:hAnsi="宋体" w:hint="eastAsia"/>
        </w:rPr>
        <w:t xml:space="preserve"> </w:t>
      </w:r>
      <w:r w:rsidRPr="00DD6AE6">
        <w:rPr>
          <w:rFonts w:ascii="汉仪书宋一简" w:eastAsia="汉仪书宋一简" w:hAnsi="宋体" w:hint="eastAsia"/>
          <w:strike/>
          <w:szCs w:val="21"/>
        </w:rPr>
        <w:t xml:space="preserve">            </w:t>
      </w:r>
      <w:r w:rsidRPr="00DD6AE6">
        <w:rPr>
          <w:rFonts w:ascii="汉仪书宋一简" w:eastAsia="汉仪书宋一简" w:hAnsi="宋体" w:cs="汉仪书宋一简" w:hint="eastAsia"/>
          <w:kern w:val="0"/>
          <w:sz w:val="18"/>
          <w:szCs w:val="18"/>
        </w:rPr>
        <w:t>×1000‰</w:t>
      </w:r>
    </w:p>
    <w:p w:rsidR="00186A2F" w:rsidRDefault="00186A2F" w:rsidP="00186A2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N w:val="0"/>
        <w:adjustRightInd w:val="0"/>
        <w:snapToGrid w:val="0"/>
        <w:spacing w:line="200" w:lineRule="exact"/>
        <w:ind w:firstLine="397"/>
        <w:rPr>
          <w:rFonts w:ascii="汉仪书宋一简" w:eastAsia="汉仪书宋一简" w:hAnsi="宋体" w:cs="汉仪书宋一简" w:hint="eastAsia"/>
          <w:kern w:val="0"/>
          <w:sz w:val="18"/>
          <w:szCs w:val="18"/>
        </w:rPr>
      </w:pPr>
      <w:r w:rsidRPr="00DD6AE6">
        <w:rPr>
          <w:rFonts w:ascii="汉仪书宋一简" w:eastAsia="汉仪书宋一简" w:hAnsi="宋体" w:cs="汉仪书宋一简" w:hint="eastAsia"/>
          <w:kern w:val="0"/>
          <w:sz w:val="18"/>
          <w:szCs w:val="18"/>
        </w:rPr>
        <w:t xml:space="preserve">           年平均人口数</w:t>
      </w:r>
    </w:p>
    <w:p w:rsidR="00186A2F" w:rsidRPr="00DD6AE6" w:rsidRDefault="00186A2F" w:rsidP="00186A2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N w:val="0"/>
        <w:adjustRightInd w:val="0"/>
        <w:snapToGrid w:val="0"/>
        <w:spacing w:line="200" w:lineRule="exact"/>
        <w:ind w:firstLine="397"/>
        <w:rPr>
          <w:rFonts w:ascii="汉仪书宋一简" w:eastAsia="汉仪书宋一简" w:hAnsi="宋体" w:cs="汉仪书宋一简" w:hint="eastAsia"/>
          <w:kern w:val="0"/>
          <w:sz w:val="18"/>
          <w:szCs w:val="18"/>
        </w:rPr>
      </w:pPr>
    </w:p>
    <w:p w:rsidR="00186A2F" w:rsidRPr="00DD6AE6" w:rsidRDefault="00186A2F" w:rsidP="00186A2F">
      <w:pPr>
        <w:spacing w:line="330" w:lineRule="exact"/>
        <w:ind w:firstLineChars="200" w:firstLine="360"/>
        <w:rPr>
          <w:rFonts w:ascii="汉仪书宋一简" w:eastAsia="汉仪书宋一简" w:hint="eastAsia"/>
          <w:b/>
          <w:sz w:val="18"/>
          <w:szCs w:val="18"/>
        </w:rPr>
      </w:pPr>
      <w:r w:rsidRPr="00DD6AE6">
        <w:rPr>
          <w:rFonts w:ascii="汉仪书宋一简" w:eastAsia="汉仪书宋一简" w:hint="eastAsia"/>
          <w:b/>
          <w:sz w:val="18"/>
          <w:szCs w:val="18"/>
        </w:rPr>
        <w:t>基本养老保险</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1.（参保）职工人数：指报告期末按照国家法律、法规和有关政策规定参加基本养老保险并在社保经办机构已建立缴费记录档案的职工人数，包括中断缴费但未终止养老保险关系的职工人数，不包括只登记未建立缴费记录档案的人数。</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2．（参保）离退休人员人数：指报告期末参加基本养老保险的离休、退休和退职人员的人数。</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3.基本养老保险基金收入：指根据国家有关规定，由纳入基本养老保险范围的缴费单位和个人按国家规定的缴费基数和缴费比例缴纳的养老保险基金，以及通过其他方式取得的形成基金来源的收入。包括单位和职工个人缴纳的基本养老保险费、基本养老保险基金利息收入、上级补助收入、下级上解收入、转移收入、财政补贴和其他收入。</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4.基本养老保险基金支出：指按照国家政策规定的开支范围和开支标准从养老保险基金中支付给参加基本养老保险的离休、通休、退职人员个人的养老金、丧葬抚恤补助，以及由于保险关系转移、上下级之间调剂资金等原因而发生的支出。包括离休金、退休金、退职金、各种补贴、医疗费、死亡丧葬补助费、抚恤救济费、社会保险经办机构管理费、补助下级支出、上解上级支出、转移支出、其他支出等。</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5.基本养老保险基金累计结余：指截止报告期末基本养老保险基金收支相抵后的累计余额。</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离休、退休、退职人员  指正式办理了离休、退休、退职手续，并享受相应的离休、退休、退职待遇的人员。</w:t>
      </w:r>
    </w:p>
    <w:p w:rsidR="00186A2F" w:rsidRPr="00DD6AE6" w:rsidRDefault="00186A2F" w:rsidP="00186A2F">
      <w:pPr>
        <w:spacing w:line="330" w:lineRule="exact"/>
        <w:ind w:firstLineChars="200" w:firstLine="360"/>
        <w:rPr>
          <w:rFonts w:ascii="汉仪书宋一简" w:eastAsia="汉仪书宋一简" w:hint="eastAsia"/>
          <w:b/>
          <w:sz w:val="18"/>
          <w:szCs w:val="18"/>
        </w:rPr>
      </w:pPr>
      <w:r w:rsidRPr="00DD6AE6">
        <w:rPr>
          <w:rFonts w:ascii="汉仪书宋一简" w:eastAsia="汉仪书宋一简" w:hint="eastAsia"/>
          <w:b/>
          <w:sz w:val="18"/>
          <w:szCs w:val="18"/>
        </w:rPr>
        <w:t>基本医疗保险</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1.参保人数：指报告期末按国家有关规定参加基本医疗保险的人数。包括参加保险的职工人数和退休人员人数。</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2.基金收入：指根据国家有关规定，由纳入基本医疗保险范围的缴费单位和个人，按国家规定的缴费基数和缴费比例缴纳的基金，以及通过其他方式取得的形成基金来源的款项，包括：单位缴纳的社会统筹基金收入、个人缴纳的个人账户基金收入、财政补贴收入、利息收入、其他收入。</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3.基金支出：指按照国家政策规定的开支范围和开支标准从社会统筹基金中支付给参加基本医疗保险的职工和退休人员的医疗保险待遇支出，和从个人帐户基金中支付给参加基本医疗保险的职工和退休人员的医疗费用支出，以及其他支出。包括：住院医疗费用支出、门急诊医疗费用支出、个人账户基金支出、其他支出。</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4.基金累计结余：指截止报告期末基本医疗保险的社会统筹和个人帐户基金累计结余金额。包括银行存款、财政专户、债券投资和其他。</w:t>
      </w:r>
    </w:p>
    <w:p w:rsidR="00186A2F" w:rsidRPr="00DD6AE6" w:rsidRDefault="00186A2F" w:rsidP="00186A2F">
      <w:pPr>
        <w:spacing w:line="330" w:lineRule="exact"/>
        <w:ind w:firstLineChars="200" w:firstLine="360"/>
        <w:rPr>
          <w:rFonts w:ascii="汉仪书宋一简" w:eastAsia="汉仪书宋一简" w:hint="eastAsia"/>
          <w:b/>
          <w:sz w:val="18"/>
          <w:szCs w:val="18"/>
        </w:rPr>
      </w:pPr>
      <w:r w:rsidRPr="00DD6AE6">
        <w:rPr>
          <w:rFonts w:ascii="汉仪书宋一简" w:eastAsia="汉仪书宋一简" w:hint="eastAsia"/>
          <w:b/>
          <w:sz w:val="18"/>
          <w:szCs w:val="18"/>
        </w:rPr>
        <w:t>失业保险</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1.参保人数：指报告期末按照国家法律、法规和有关政策规定参加了失业保险的城镇企业事业单位的职工及地方政府规</w:t>
      </w:r>
      <w:r w:rsidRPr="00DD6AE6">
        <w:rPr>
          <w:rFonts w:ascii="汉仪书宋一简" w:eastAsia="汉仪书宋一简" w:hint="eastAsia"/>
          <w:sz w:val="18"/>
          <w:szCs w:val="18"/>
        </w:rPr>
        <w:lastRenderedPageBreak/>
        <w:t>定参加失业保险的其他人员的人数。</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2.失业保险基金收入：指按照规定从企业、事业及其他单位筹集的失业保险费及其他并入失业保险基金收入的总额。包括单位和个人缴纳的失业保险费、失业保险基金利息收入、上级补助收入、下级上解收入、转移收入、财政补贴和其他收入。</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3.失业保险基金支出：指报告期内为保障失业人员和下岗职工基本生活、促进其再就业等支出的基金总额。包括失业救济金、医疗费、死亡丧葬补助费、抚恤救济费、转业训练费支出、失业保险经办机构管理费、补助下级支出、上解上级支出、转移支出和其他支出。</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4.基金累计结余：指截止报告期末失业保险基金收支相抵后的累计余额。</w:t>
      </w:r>
    </w:p>
    <w:p w:rsidR="00186A2F" w:rsidRPr="00DD6AE6" w:rsidRDefault="00186A2F" w:rsidP="00186A2F">
      <w:pPr>
        <w:spacing w:line="330" w:lineRule="exact"/>
        <w:ind w:firstLineChars="200" w:firstLine="360"/>
        <w:rPr>
          <w:rFonts w:ascii="汉仪书宋一简" w:eastAsia="汉仪书宋一简" w:hint="eastAsia"/>
          <w:b/>
          <w:sz w:val="18"/>
          <w:szCs w:val="18"/>
        </w:rPr>
      </w:pPr>
      <w:r w:rsidRPr="00DD6AE6">
        <w:rPr>
          <w:rFonts w:ascii="汉仪书宋一简" w:eastAsia="汉仪书宋一简" w:hint="eastAsia"/>
          <w:b/>
          <w:sz w:val="18"/>
          <w:szCs w:val="18"/>
        </w:rPr>
        <w:t>工伤保险</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 xml:space="preserve">1.参加保险人数: 指报告期末依据国家有关规定参加工伤保险的职工人数。 </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2.享受保险待遇人数: 指劳动者因工负伤致残、死亡或因患职业病致残，根据有关规定享受工伤保险待遇职工或供养直系亲属人数。包括伤残人数、职业病人数、因工死亡人数、供养直系亲属人数。</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3.基金收入: 指根据国家有关规定，由参加工伤保险的单位按国家规定的缴费基数和缴费比例缴纳的工伤保险基金，以及通过其他形式取得的形成基金来源的款项。包括：单位缴纳的社会统筹基金收入、财政补贴收入、利息收入、其他收入。</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4.基金支出: 指按照国家政策规定的开支范围和开支标准从工伤保险基金中支付给参加工伤保险的人员及供养直系亲属工伤保险待遇支出及其他支出。包括工伤医疗费、伤残补助金、工亡补助金、护理费、丧葬补助费、工伤预防费用、职业康复费用和其他支出。</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5.基金累计结余: 指截止报告期末工伤保险基金累计结余金额。包括银行存款、财政专户、债券投资和其他。</w:t>
      </w:r>
    </w:p>
    <w:p w:rsidR="00186A2F" w:rsidRPr="00DD6AE6" w:rsidRDefault="00186A2F" w:rsidP="00186A2F">
      <w:pPr>
        <w:spacing w:line="330" w:lineRule="exact"/>
        <w:ind w:firstLineChars="200" w:firstLine="360"/>
        <w:rPr>
          <w:rFonts w:ascii="汉仪书宋一简" w:eastAsia="汉仪书宋一简" w:hint="eastAsia"/>
          <w:b/>
          <w:sz w:val="18"/>
          <w:szCs w:val="18"/>
        </w:rPr>
      </w:pPr>
      <w:r w:rsidRPr="00DD6AE6">
        <w:rPr>
          <w:rFonts w:ascii="汉仪书宋一简" w:eastAsia="汉仪书宋一简" w:hint="eastAsia"/>
          <w:b/>
          <w:sz w:val="18"/>
          <w:szCs w:val="18"/>
        </w:rPr>
        <w:t>生育保险</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1.参保人数: 指报告期末依据有关规定参加生育保险的职工人数。</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2.基金收入: 指根据国家有关规定，由参加生育保险的单位按照国家规定的缴费基数和缴费比例缴纳的生育保险基金，以及通过其他方式取得的形成基金来源的款项，包括：单位缴纳的基金收入、利息收入和其他收入。</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3.基金支出: 指按照国家政策规定的开支范围和开支标准，从生育保险基金中支付给参加生育保险的职工，因妊娠、分娩和计划生育手术而享受的待遇及其他支出。包括：生育津贴、医疗费用支出及其他支出。</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4.基金累计结余: 指截止报告期末生育保险基金累计结余金额。包括银行存款、财政专户、债券投资和其他。</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离休、退休、退职人员保险福利费用  指离休、退休、退职人员实际得到的生活费用总额，包括从社会保险经办机构和单位得到的费用。</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 xml:space="preserve">1.离休金：指按规定支付给离休人员的生活费用。 </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 xml:space="preserve">2.退休金：指按规定支付给退休人员的生活费用。 </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3.退职生活费：指按规定支付给退职人员的生活费用。</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4.医疗卫生费：指单位直接支付给离休、退休、退职人员的医疗费、住院费以及住院伙食补助等费用。</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sz w:val="18"/>
          <w:szCs w:val="18"/>
        </w:rPr>
        <w:t>5.其他：指离休金、退休金、退职生活费和医疗卫生费以外的其他保险福利费用，如丧葬抚恤救济费、生活补贴、物价补贴、冬季取暖补贴等。</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律师</w:t>
      </w:r>
      <w:r w:rsidRPr="00DD6AE6">
        <w:rPr>
          <w:rFonts w:ascii="汉仪书宋一简" w:eastAsia="汉仪书宋一简" w:hint="eastAsia"/>
          <w:sz w:val="18"/>
          <w:szCs w:val="18"/>
        </w:rPr>
        <w:t xml:space="preserve">  指依法取得律师执业证书，担任法律顾问，民事(刑事、行政)案件代理人、刑事案件辩护人、办理非诉讼业务，解答法律询问，代写法律事务文书等，为社会提供法律服务的人员。</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公证人员</w:t>
      </w:r>
      <w:r w:rsidRPr="00DD6AE6">
        <w:rPr>
          <w:rFonts w:ascii="汉仪书宋一简" w:eastAsia="汉仪书宋一简" w:hint="eastAsia"/>
          <w:sz w:val="18"/>
          <w:szCs w:val="18"/>
        </w:rPr>
        <w:t xml:space="preserve">  指在公证处工作的人员总称，包括公证处主任、副主任、公证员、公证员助理(助理公证员)和其他从事辅助性工作的人员。</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公证文书</w:t>
      </w:r>
      <w:r w:rsidRPr="00DD6AE6">
        <w:rPr>
          <w:rFonts w:ascii="汉仪书宋一简" w:eastAsia="汉仪书宋一简" w:hint="eastAsia"/>
          <w:sz w:val="18"/>
          <w:szCs w:val="18"/>
        </w:rPr>
        <w:t xml:space="preserve">  指公证处根据当事人申请，依照事实和法律，按照法定程序制作的，具有法律效力的司法证明文书。根据公证书用途和使用地，公证书分为国内公证书、国内经济公证书、涉外民事公证书、涉外经济公证书四类。</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调解员</w:t>
      </w:r>
      <w:r w:rsidRPr="00DD6AE6">
        <w:rPr>
          <w:rFonts w:ascii="汉仪书宋一简" w:eastAsia="汉仪书宋一简" w:hint="eastAsia"/>
          <w:sz w:val="18"/>
          <w:szCs w:val="18"/>
        </w:rPr>
        <w:t xml:space="preserve">  指在人民调解委员会担负调解民间纠纷工作的人员，包括调解委员会的委员和调解小组的调解员。该指标主要反映从事人民调解工作的人员数量。</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调解民间纠纷</w:t>
      </w:r>
      <w:r w:rsidRPr="00DD6AE6">
        <w:rPr>
          <w:rFonts w:ascii="汉仪书宋一简" w:eastAsia="汉仪书宋一简" w:hint="eastAsia"/>
          <w:sz w:val="18"/>
          <w:szCs w:val="18"/>
        </w:rPr>
        <w:t xml:space="preserve">  指调解委员会按照法律规定，根据自愿原则，用说服教育的方法调解民间发生的有关民事权利和义务争执的件数，包括调解成功数和调解未成功数。该指标主要反映人民调解委员会的工作量。</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立案</w:t>
      </w:r>
      <w:r w:rsidRPr="00DD6AE6">
        <w:rPr>
          <w:rFonts w:ascii="汉仪书宋一简" w:eastAsia="汉仪书宋一简" w:hint="eastAsia"/>
          <w:sz w:val="18"/>
          <w:szCs w:val="18"/>
        </w:rPr>
        <w:t xml:space="preserve">  指人民检察院对受理的报案、控告、举报或自首及自行发现的犯罪线索、犯罪嫌疑人进行初步调查后，认为存在职务犯罪事实和应追究刑事责任，并决定作为刑事案件进行侦查的诉讼活动，是追究犯罪的开始。该指标主要反映人民检察</w:t>
      </w:r>
      <w:r w:rsidRPr="00DD6AE6">
        <w:rPr>
          <w:rFonts w:ascii="汉仪书宋一简" w:eastAsia="汉仪书宋一简" w:hint="eastAsia"/>
          <w:sz w:val="18"/>
          <w:szCs w:val="18"/>
        </w:rPr>
        <w:lastRenderedPageBreak/>
        <w:t>院依法将职务犯罪线索作为刑事案件进行侦查的诉讼活动。</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大案</w:t>
      </w:r>
      <w:r w:rsidRPr="00DD6AE6">
        <w:rPr>
          <w:rFonts w:ascii="汉仪书宋一简" w:eastAsia="汉仪书宋一简" w:hint="eastAsia"/>
          <w:sz w:val="18"/>
          <w:szCs w:val="18"/>
        </w:rPr>
        <w:t xml:space="preserve">  指贪污、贿赂案数额在5万元以上，挪用公款案数额在10万元以上，集体私分、巨额财产来源不明、隐瞒境外存款案数额在50万元以上以及按照《人民检察院直接受理的渎职、侵权重、特大案件标准(试行)》认定的案件。该指标主要反映人民检察院立案查办的职务犯罪案件中经济损失大、社会危害严重的案件。</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要案</w:t>
      </w:r>
      <w:r w:rsidRPr="00DD6AE6">
        <w:rPr>
          <w:rFonts w:ascii="汉仪书宋一简" w:eastAsia="汉仪书宋一简" w:hint="eastAsia"/>
          <w:sz w:val="18"/>
          <w:szCs w:val="18"/>
        </w:rPr>
        <w:t xml:space="preserve">  指县、处级以上干部的犯罪案件。该指标主要反映国家工作人员中县、处级以上干部因职务犯罪被人民检察院依法立案侦查的情况。</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决定逮捕</w:t>
      </w:r>
      <w:r w:rsidRPr="00DD6AE6">
        <w:rPr>
          <w:rFonts w:ascii="汉仪书宋一简" w:eastAsia="汉仪书宋一简" w:hint="eastAsia"/>
          <w:sz w:val="18"/>
          <w:szCs w:val="18"/>
        </w:rPr>
        <w:t xml:space="preserve">  指人民检察院对直接受理、自行侦查的案件，认为需要逮捕犯罪嫌疑人时，依据法律做出的逮捕决定。该指标主要反映人民检察院对直接受理的案件行使决定逮捕权的情况。</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批准逮捕</w:t>
      </w:r>
      <w:r w:rsidRPr="00DD6AE6">
        <w:rPr>
          <w:rFonts w:ascii="汉仪书宋一简" w:eastAsia="汉仪书宋一简" w:hint="eastAsia"/>
          <w:sz w:val="18"/>
          <w:szCs w:val="18"/>
        </w:rPr>
        <w:t xml:space="preserve">  指人民检察院对公安机关、国家安全机关、监狱管理机关提出逮捕的犯罪嫌疑人进行审查，根据事实，依法做出逮捕决定。该指标主要反映人民检察院对提请逮捕机关提请逮捕犯罪嫌疑人进行审查后依法做出批准逮捕决定的情况。</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决定起诉</w:t>
      </w:r>
      <w:r w:rsidRPr="00DD6AE6">
        <w:rPr>
          <w:rFonts w:ascii="汉仪书宋一简" w:eastAsia="汉仪书宋一简" w:hint="eastAsia"/>
          <w:sz w:val="18"/>
          <w:szCs w:val="18"/>
        </w:rPr>
        <w:t xml:space="preserve">  指人民检察院对公安机关、国家安全机关、监狱管理机关和检察机关内设机构反贪污贿赂部门等移送起诉的案件进行审查，根据事实，做出提起公诉的案件。该指标主要反映人民检察院对各种刑事案件向人民法院提起公诉的情况。</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申诉</w:t>
      </w:r>
      <w:r w:rsidRPr="00DD6AE6">
        <w:rPr>
          <w:rFonts w:ascii="汉仪书宋一简" w:eastAsia="汉仪书宋一简" w:hint="eastAsia"/>
          <w:sz w:val="18"/>
          <w:szCs w:val="18"/>
        </w:rPr>
        <w:t xml:space="preserve">  指经检察机关信访部门审查处理后，移送到检察机关申诉部门的申诉案件，包括不服检察机关处理决定和不服法院刑事判决和裁定的申诉的案件。</w:t>
      </w:r>
    </w:p>
    <w:p w:rsidR="00186A2F" w:rsidRPr="00DD6AE6" w:rsidRDefault="00186A2F" w:rsidP="00186A2F">
      <w:pPr>
        <w:spacing w:line="330" w:lineRule="exact"/>
        <w:ind w:firstLineChars="200" w:firstLine="360"/>
        <w:rPr>
          <w:rFonts w:ascii="汉仪书宋一简" w:eastAsia="汉仪书宋一简" w:hint="eastAsia"/>
          <w:sz w:val="18"/>
          <w:szCs w:val="18"/>
        </w:rPr>
      </w:pPr>
      <w:r w:rsidRPr="00DD6AE6">
        <w:rPr>
          <w:rFonts w:ascii="汉仪书宋一简" w:eastAsia="汉仪书宋一简" w:hint="eastAsia"/>
          <w:b/>
          <w:sz w:val="18"/>
          <w:szCs w:val="18"/>
        </w:rPr>
        <w:t>受理劳动争议案件数</w:t>
      </w:r>
      <w:r w:rsidRPr="00DD6AE6">
        <w:rPr>
          <w:rFonts w:ascii="汉仪书宋一简" w:eastAsia="汉仪书宋一简" w:hint="eastAsia"/>
          <w:sz w:val="18"/>
          <w:szCs w:val="18"/>
        </w:rPr>
        <w:t xml:space="preserve">  指劳动争议仲裁委员会根据国家有关规定，对劳动争议当事人的申请予以审查，符合受理条件而正式立案、准备处理的劳动争议案件数。</w:t>
      </w:r>
    </w:p>
    <w:p w:rsidR="00186A2F" w:rsidRDefault="00186A2F" w:rsidP="00186A2F">
      <w:pPr>
        <w:spacing w:line="330" w:lineRule="exact"/>
        <w:rPr>
          <w:rFonts w:hint="eastAsia"/>
        </w:rPr>
      </w:pPr>
    </w:p>
    <w:p w:rsidR="00186A2F" w:rsidRPr="00DD6AE6" w:rsidRDefault="00186A2F" w:rsidP="00186A2F">
      <w:pPr>
        <w:spacing w:line="330" w:lineRule="exact"/>
        <w:rPr>
          <w:rFonts w:hint="eastAsia"/>
        </w:rPr>
      </w:pPr>
    </w:p>
    <w:p w:rsidR="00186A2F" w:rsidRPr="00DD6AE6" w:rsidRDefault="00186A2F" w:rsidP="00186A2F">
      <w:pPr>
        <w:spacing w:line="330" w:lineRule="exact"/>
        <w:jc w:val="center"/>
        <w:rPr>
          <w:b/>
          <w:sz w:val="28"/>
          <w:szCs w:val="28"/>
        </w:rPr>
      </w:pPr>
      <w:r w:rsidRPr="00DD6AE6">
        <w:rPr>
          <w:b/>
          <w:sz w:val="28"/>
          <w:szCs w:val="28"/>
        </w:rPr>
        <w:t>Explanatory Notes on Main Statistical Indicators</w:t>
      </w:r>
    </w:p>
    <w:p w:rsidR="00186A2F" w:rsidRPr="00DD6AE6" w:rsidRDefault="00186A2F" w:rsidP="00186A2F">
      <w:pPr>
        <w:spacing w:line="330" w:lineRule="exact"/>
        <w:rPr>
          <w:rFonts w:hint="eastAsia"/>
        </w:rPr>
      </w:pPr>
    </w:p>
    <w:p w:rsidR="00186A2F" w:rsidRPr="00DD6AE6" w:rsidRDefault="00186A2F" w:rsidP="00186A2F">
      <w:pPr>
        <w:spacing w:line="330" w:lineRule="exact"/>
        <w:ind w:firstLineChars="200" w:firstLine="361"/>
        <w:rPr>
          <w:sz w:val="18"/>
          <w:szCs w:val="18"/>
        </w:rPr>
      </w:pPr>
      <w:r w:rsidRPr="00DD6AE6">
        <w:rPr>
          <w:b/>
          <w:sz w:val="18"/>
          <w:szCs w:val="18"/>
        </w:rPr>
        <w:t>Social Welfare Institutions</w:t>
      </w:r>
      <w:r w:rsidRPr="00DD6AE6">
        <w:rPr>
          <w:sz w:val="18"/>
          <w:szCs w:val="18"/>
        </w:rPr>
        <w:t xml:space="preserve">  refer to institutions taking care of old people without children, handicapped people and orphans. They include social welfare institutions run by civil affairs departments, children welfare institutions, social welfare institutions for mental patients, collective-owned old people’s homes in rural areas, convalescent homes and community service centers with the capacity of receiving those people. This indicator reflects the input in social welfare institutions.</w:t>
      </w:r>
    </w:p>
    <w:p w:rsidR="00186A2F" w:rsidRPr="00DD6AE6" w:rsidRDefault="00186A2F" w:rsidP="00186A2F">
      <w:pPr>
        <w:spacing w:line="330" w:lineRule="exact"/>
        <w:ind w:firstLineChars="200" w:firstLine="361"/>
        <w:rPr>
          <w:sz w:val="18"/>
          <w:szCs w:val="18"/>
        </w:rPr>
      </w:pPr>
      <w:r w:rsidRPr="00DD6AE6">
        <w:rPr>
          <w:b/>
          <w:sz w:val="18"/>
          <w:szCs w:val="18"/>
        </w:rPr>
        <w:t>Number of People Taken in by Social Welfare Institutions</w:t>
      </w:r>
      <w:r w:rsidRPr="00DD6AE6">
        <w:rPr>
          <w:sz w:val="18"/>
          <w:szCs w:val="18"/>
        </w:rPr>
        <w:t xml:space="preserve">  refers to the number of old people, children, totally dependent handicapped people and mental patients taken in by social welfare institutions run by civil affairs departments and those run by collective units in urban and rural areas. This indicator reflects the capacity of social welfare institutions.</w:t>
      </w:r>
    </w:p>
    <w:p w:rsidR="00186A2F" w:rsidRPr="00DD6AE6" w:rsidRDefault="00186A2F" w:rsidP="00186A2F">
      <w:pPr>
        <w:spacing w:line="330" w:lineRule="exact"/>
        <w:ind w:firstLineChars="200" w:firstLine="361"/>
        <w:rPr>
          <w:sz w:val="18"/>
          <w:szCs w:val="18"/>
        </w:rPr>
      </w:pPr>
      <w:r w:rsidRPr="00DD6AE6">
        <w:rPr>
          <w:b/>
          <w:sz w:val="18"/>
          <w:szCs w:val="18"/>
        </w:rPr>
        <w:t>Social Welfare Enterprises</w:t>
      </w:r>
      <w:r w:rsidRPr="00DD6AE6">
        <w:rPr>
          <w:sz w:val="18"/>
          <w:szCs w:val="18"/>
        </w:rPr>
        <w:t xml:space="preserve">  are collective owned enterprises which employ the blind, deaf-mute, and other handicapped people who are able to work in cities and towns and enjoy exemption from state taxes, including welfare plants, welfare commercial services, artificial limb plants and farms, etc. This indicator reflects the preferential policies toward disabled persons.</w:t>
      </w:r>
    </w:p>
    <w:p w:rsidR="00186A2F" w:rsidRPr="00DD6AE6" w:rsidRDefault="00186A2F" w:rsidP="00186A2F">
      <w:pPr>
        <w:spacing w:line="330" w:lineRule="exact"/>
        <w:ind w:firstLineChars="200" w:firstLine="361"/>
        <w:rPr>
          <w:sz w:val="18"/>
          <w:szCs w:val="18"/>
        </w:rPr>
      </w:pPr>
      <w:r w:rsidRPr="00DD6AE6">
        <w:rPr>
          <w:b/>
          <w:sz w:val="18"/>
          <w:szCs w:val="18"/>
        </w:rPr>
        <w:t>Crude Divorce Rate</w:t>
      </w:r>
      <w:r w:rsidRPr="00DD6AE6">
        <w:rPr>
          <w:sz w:val="18"/>
          <w:szCs w:val="18"/>
        </w:rPr>
        <w:t xml:space="preserve">  refers to proportion of divorced people to the annual average population for the reference year, the formula is:</w:t>
      </w:r>
    </w:p>
    <w:p w:rsidR="00186A2F" w:rsidRPr="00DD6AE6" w:rsidRDefault="00186A2F" w:rsidP="00186A2F">
      <w:pPr>
        <w:spacing w:line="330" w:lineRule="exact"/>
        <w:ind w:firstLineChars="200" w:firstLine="360"/>
        <w:rPr>
          <w:sz w:val="18"/>
          <w:szCs w:val="18"/>
        </w:rPr>
      </w:pPr>
      <w:r w:rsidRPr="00DD6AE6">
        <w:rPr>
          <w:sz w:val="18"/>
          <w:szCs w:val="18"/>
        </w:rPr>
        <w:t>Crude Divorce rate= number of couples divorced for the reference year/annual average population x 1000 per thousand</w:t>
      </w:r>
    </w:p>
    <w:p w:rsidR="00186A2F" w:rsidRPr="00211E07" w:rsidRDefault="00186A2F" w:rsidP="00186A2F">
      <w:pPr>
        <w:spacing w:line="330" w:lineRule="exact"/>
        <w:ind w:firstLineChars="200" w:firstLine="361"/>
        <w:rPr>
          <w:b/>
          <w:sz w:val="18"/>
          <w:szCs w:val="18"/>
        </w:rPr>
      </w:pPr>
      <w:r w:rsidRPr="00211E07">
        <w:rPr>
          <w:b/>
          <w:sz w:val="18"/>
          <w:szCs w:val="18"/>
        </w:rPr>
        <w:t xml:space="preserve">Basic Medical Care Insurance: </w:t>
      </w:r>
    </w:p>
    <w:p w:rsidR="00186A2F" w:rsidRPr="00DD6AE6" w:rsidRDefault="00186A2F" w:rsidP="00186A2F">
      <w:pPr>
        <w:spacing w:line="330" w:lineRule="exact"/>
        <w:ind w:firstLineChars="200" w:firstLine="360"/>
        <w:rPr>
          <w:sz w:val="18"/>
          <w:szCs w:val="18"/>
        </w:rPr>
      </w:pPr>
      <w:r w:rsidRPr="00DD6AE6">
        <w:rPr>
          <w:sz w:val="18"/>
          <w:szCs w:val="18"/>
        </w:rPr>
        <w:t>1. Number of people participating in the insurance programme refers to people participating in the basic medical care insurance programme according to related regulations by the end of reference period, including number of staff and workers and retirees participating in this insurance programme.</w:t>
      </w:r>
    </w:p>
    <w:p w:rsidR="00186A2F" w:rsidRPr="00DD6AE6" w:rsidRDefault="00186A2F" w:rsidP="00186A2F">
      <w:pPr>
        <w:spacing w:line="330" w:lineRule="exact"/>
        <w:ind w:firstLineChars="200" w:firstLine="360"/>
        <w:rPr>
          <w:sz w:val="18"/>
          <w:szCs w:val="18"/>
        </w:rPr>
      </w:pPr>
      <w:r w:rsidRPr="00DD6AE6">
        <w:rPr>
          <w:sz w:val="18"/>
          <w:szCs w:val="18"/>
        </w:rPr>
        <w:t>2. Revenue of insurance programme refer to payments made by employers and individuals participating in medical care insurance programs in accordance with the basis and proportion stipulated in state regulations, and income from other sources that become source of medical insurance fund, including income of social comprehensive funds paid by employers, income from individual accounts, government financial subsidies, interest income and other income.</w:t>
      </w:r>
    </w:p>
    <w:p w:rsidR="00186A2F" w:rsidRPr="00DD6AE6" w:rsidRDefault="00186A2F" w:rsidP="00186A2F">
      <w:pPr>
        <w:spacing w:line="330" w:lineRule="exact"/>
        <w:ind w:firstLineChars="200" w:firstLine="360"/>
        <w:rPr>
          <w:sz w:val="18"/>
          <w:szCs w:val="18"/>
        </w:rPr>
      </w:pPr>
      <w:r w:rsidRPr="00DD6AE6">
        <w:rPr>
          <w:sz w:val="18"/>
          <w:szCs w:val="18"/>
        </w:rPr>
        <w:t xml:space="preserve">3. Expenses of insurance programme refer to payment made from social comprehensive funds to those retired and resigned people covered in basic medical care insurance within the scope and standards of expenditure according to related national policies, and medical care payment made from individual accounts to staff and workers and retirees, and other expenses, including medical expenses of hospital </w:t>
      </w:r>
      <w:r w:rsidRPr="00DD6AE6">
        <w:rPr>
          <w:sz w:val="18"/>
          <w:szCs w:val="18"/>
        </w:rPr>
        <w:lastRenderedPageBreak/>
        <w:t>inpatients, medical expenses for outpatients and emergency patients, payment from individual accounts and other expenditure.</w:t>
      </w:r>
    </w:p>
    <w:p w:rsidR="00186A2F" w:rsidRPr="00DD6AE6" w:rsidRDefault="00186A2F" w:rsidP="00186A2F">
      <w:pPr>
        <w:spacing w:line="330" w:lineRule="exact"/>
        <w:ind w:firstLineChars="200" w:firstLine="360"/>
        <w:rPr>
          <w:sz w:val="18"/>
          <w:szCs w:val="18"/>
        </w:rPr>
      </w:pPr>
      <w:r w:rsidRPr="00DD6AE6">
        <w:rPr>
          <w:sz w:val="18"/>
          <w:szCs w:val="18"/>
        </w:rPr>
        <w:t>4. Balance of basic medical care insurance refer to the balance of medical care insurance of social comprehensive funds and individual accounts at the end of the reference period, including bank savings, special fiscal accounts, investment in bonds and others.</w:t>
      </w:r>
    </w:p>
    <w:p w:rsidR="00186A2F" w:rsidRPr="00211E07" w:rsidRDefault="00186A2F" w:rsidP="00186A2F">
      <w:pPr>
        <w:spacing w:line="330" w:lineRule="exact"/>
        <w:ind w:firstLineChars="200" w:firstLine="361"/>
        <w:rPr>
          <w:b/>
          <w:sz w:val="18"/>
          <w:szCs w:val="18"/>
        </w:rPr>
      </w:pPr>
      <w:r w:rsidRPr="00211E07">
        <w:rPr>
          <w:b/>
          <w:sz w:val="18"/>
          <w:szCs w:val="18"/>
        </w:rPr>
        <w:t>Unemployment Insurance</w:t>
      </w:r>
    </w:p>
    <w:p w:rsidR="00186A2F" w:rsidRPr="00DD6AE6" w:rsidRDefault="00186A2F" w:rsidP="00186A2F">
      <w:pPr>
        <w:spacing w:line="330" w:lineRule="exact"/>
        <w:ind w:firstLineChars="200" w:firstLine="360"/>
        <w:rPr>
          <w:sz w:val="18"/>
          <w:szCs w:val="18"/>
        </w:rPr>
      </w:pPr>
      <w:r w:rsidRPr="00DD6AE6">
        <w:rPr>
          <w:sz w:val="18"/>
          <w:szCs w:val="18"/>
        </w:rPr>
        <w:t>1. Number of people covered refers to staff and workers in urban enterprises or institutions who have participated in unemployment insurance programme in line relevant policies and regulations, and other people who have participated according to local government regulations, by the end of reference period.</w:t>
      </w:r>
    </w:p>
    <w:p w:rsidR="00186A2F" w:rsidRPr="00DD6AE6" w:rsidRDefault="00186A2F" w:rsidP="00186A2F">
      <w:pPr>
        <w:spacing w:line="330" w:lineRule="exact"/>
        <w:ind w:firstLineChars="200" w:firstLine="360"/>
        <w:rPr>
          <w:sz w:val="18"/>
          <w:szCs w:val="18"/>
        </w:rPr>
      </w:pPr>
      <w:r w:rsidRPr="00DD6AE6">
        <w:rPr>
          <w:sz w:val="18"/>
          <w:szCs w:val="18"/>
        </w:rPr>
        <w:t>2. Revenue of unemployment insurance refer to payments made by employers and individuals participating in unemployment insurance programme in accordance with relevant regulations and other income contributed to this programme, including unemployment insurance premium made by employers and individuals, interest income, subsidies from higher level agencies, income as transfer from subordinate agencies, transferred income, government financial subsidies and other income.</w:t>
      </w:r>
    </w:p>
    <w:p w:rsidR="00186A2F" w:rsidRPr="00DD6AE6" w:rsidRDefault="00186A2F" w:rsidP="00186A2F">
      <w:pPr>
        <w:spacing w:line="330" w:lineRule="exact"/>
        <w:ind w:firstLineChars="200" w:firstLine="360"/>
        <w:rPr>
          <w:sz w:val="18"/>
          <w:szCs w:val="18"/>
        </w:rPr>
      </w:pPr>
      <w:r w:rsidRPr="00DD6AE6">
        <w:rPr>
          <w:sz w:val="18"/>
          <w:szCs w:val="18"/>
        </w:rPr>
        <w:t>3. Expenses of unemployment insurance refer to total expenses during the reference period to guarantee the basic livelihood of unemployed people and laid-off staff and workers and to encourage their re-employment. Included are unemployment relief, medical fees, funeral subsidies, compensation pension, training expenses, management fees for unemployment insurance agencies, subsidies to lower level agencies, expenses as transfer to higher level agencies, transferred expenditure and other expenditure.</w:t>
      </w:r>
    </w:p>
    <w:p w:rsidR="00186A2F" w:rsidRPr="00DD6AE6" w:rsidRDefault="00186A2F" w:rsidP="00186A2F">
      <w:pPr>
        <w:spacing w:line="330" w:lineRule="exact"/>
        <w:ind w:firstLineChars="200" w:firstLine="360"/>
        <w:rPr>
          <w:sz w:val="18"/>
          <w:szCs w:val="18"/>
        </w:rPr>
      </w:pPr>
      <w:r w:rsidRPr="00DD6AE6">
        <w:rPr>
          <w:sz w:val="18"/>
          <w:szCs w:val="18"/>
        </w:rPr>
        <w:t>4. Balance of unemployment insurance refer to the balance of unemployment revenue deducting unemployment expenses at the end of the reference period.</w:t>
      </w:r>
    </w:p>
    <w:p w:rsidR="00186A2F" w:rsidRPr="00211E07" w:rsidRDefault="00186A2F" w:rsidP="00186A2F">
      <w:pPr>
        <w:spacing w:line="330" w:lineRule="exact"/>
        <w:ind w:firstLineChars="200" w:firstLine="361"/>
        <w:rPr>
          <w:b/>
          <w:sz w:val="18"/>
          <w:szCs w:val="18"/>
        </w:rPr>
      </w:pPr>
      <w:r w:rsidRPr="00211E07">
        <w:rPr>
          <w:b/>
          <w:sz w:val="18"/>
          <w:szCs w:val="18"/>
        </w:rPr>
        <w:t xml:space="preserve">Work Injury Insurance </w:t>
      </w:r>
    </w:p>
    <w:p w:rsidR="00186A2F" w:rsidRPr="00DD6AE6" w:rsidRDefault="00186A2F" w:rsidP="00186A2F">
      <w:pPr>
        <w:spacing w:line="330" w:lineRule="exact"/>
        <w:ind w:firstLineChars="200" w:firstLine="360"/>
        <w:rPr>
          <w:sz w:val="18"/>
          <w:szCs w:val="18"/>
        </w:rPr>
      </w:pPr>
      <w:r w:rsidRPr="00DD6AE6">
        <w:rPr>
          <w:sz w:val="18"/>
          <w:szCs w:val="18"/>
        </w:rPr>
        <w:t>1. Number of people covered refers to staff and workers who have participated in work injury insurance programme in line with relevant national regulations.</w:t>
      </w:r>
    </w:p>
    <w:p w:rsidR="00186A2F" w:rsidRPr="00DD6AE6" w:rsidRDefault="00186A2F" w:rsidP="00186A2F">
      <w:pPr>
        <w:spacing w:line="330" w:lineRule="exact"/>
        <w:ind w:firstLineChars="200" w:firstLine="360"/>
        <w:rPr>
          <w:sz w:val="18"/>
          <w:szCs w:val="18"/>
        </w:rPr>
      </w:pPr>
      <w:r w:rsidRPr="00DD6AE6">
        <w:rPr>
          <w:sz w:val="18"/>
          <w:szCs w:val="18"/>
        </w:rPr>
        <w:t>2. Number of beneficiaries refers to staff and workers and their direct dependents who can, in line with relevant regulations, benefit from work injury insurance, as a result of work injury leading to disability or death of the staff/worker, or occupational disease leading to disability. Included in this category are number of injured and disabled people, number of people with occupational diseases, number of deaths at work places, and number of direct dependents.</w:t>
      </w:r>
    </w:p>
    <w:p w:rsidR="00186A2F" w:rsidRPr="00DD6AE6" w:rsidRDefault="00186A2F" w:rsidP="00186A2F">
      <w:pPr>
        <w:spacing w:line="330" w:lineRule="exact"/>
        <w:ind w:firstLineChars="200" w:firstLine="360"/>
        <w:rPr>
          <w:sz w:val="18"/>
          <w:szCs w:val="18"/>
        </w:rPr>
      </w:pPr>
      <w:r w:rsidRPr="00DD6AE6">
        <w:rPr>
          <w:sz w:val="18"/>
          <w:szCs w:val="18"/>
        </w:rPr>
        <w:t>3. Revenue of work injury insurance refer to payments made by employers participating in work injury insurance programs in accordance with the basis and proportion stipulated in state regulations, and income from other sources that become source of work injury insurance fund, including income of social comprehensive funds paid by employers, government financial subsidies, interest income and other income.</w:t>
      </w:r>
    </w:p>
    <w:p w:rsidR="00186A2F" w:rsidRPr="00DD6AE6" w:rsidRDefault="00186A2F" w:rsidP="00186A2F">
      <w:pPr>
        <w:spacing w:line="330" w:lineRule="exact"/>
        <w:ind w:firstLineChars="200" w:firstLine="360"/>
        <w:rPr>
          <w:sz w:val="18"/>
          <w:szCs w:val="18"/>
        </w:rPr>
      </w:pPr>
      <w:r w:rsidRPr="00DD6AE6">
        <w:rPr>
          <w:sz w:val="18"/>
          <w:szCs w:val="18"/>
        </w:rPr>
        <w:t>4. Expenses of work injury insurance refer to payments made from work injury insurance funds to those who participated in the work injury insurance programme and their direct dependents within the scope and standards of expenditure according to related national policies, and other expenditure, including medical fees for work injury, injury and disability subsidies, death subsidies, nursing fees, funeral subsidies, injury prevention fees, rehabilitation fees for occupational diseases and other expenditure.</w:t>
      </w:r>
    </w:p>
    <w:p w:rsidR="00186A2F" w:rsidRPr="00DD6AE6" w:rsidRDefault="00186A2F" w:rsidP="00186A2F">
      <w:pPr>
        <w:spacing w:line="330" w:lineRule="exact"/>
        <w:ind w:firstLineChars="200" w:firstLine="360"/>
        <w:rPr>
          <w:sz w:val="18"/>
          <w:szCs w:val="18"/>
        </w:rPr>
      </w:pPr>
      <w:r w:rsidRPr="00DD6AE6">
        <w:rPr>
          <w:sz w:val="18"/>
          <w:szCs w:val="18"/>
        </w:rPr>
        <w:t>5. Balance of work injury insurance refer to the balance of the work injury funds at the end of the reference period, including bank savings, special fiscal account, investment in bonds and others.</w:t>
      </w:r>
    </w:p>
    <w:p w:rsidR="00186A2F" w:rsidRPr="00211E07" w:rsidRDefault="00186A2F" w:rsidP="00186A2F">
      <w:pPr>
        <w:spacing w:line="330" w:lineRule="exact"/>
        <w:ind w:firstLineChars="200" w:firstLine="361"/>
        <w:rPr>
          <w:b/>
          <w:sz w:val="18"/>
          <w:szCs w:val="18"/>
        </w:rPr>
      </w:pPr>
      <w:r w:rsidRPr="00211E07">
        <w:rPr>
          <w:b/>
          <w:sz w:val="18"/>
          <w:szCs w:val="18"/>
        </w:rPr>
        <w:t>Maternity Insurance</w:t>
      </w:r>
    </w:p>
    <w:p w:rsidR="00186A2F" w:rsidRPr="00DD6AE6" w:rsidRDefault="00186A2F" w:rsidP="00186A2F">
      <w:pPr>
        <w:spacing w:line="330" w:lineRule="exact"/>
        <w:ind w:firstLineChars="200" w:firstLine="360"/>
        <w:rPr>
          <w:sz w:val="18"/>
          <w:szCs w:val="18"/>
        </w:rPr>
      </w:pPr>
      <w:r w:rsidRPr="00DD6AE6">
        <w:rPr>
          <w:sz w:val="18"/>
          <w:szCs w:val="18"/>
        </w:rPr>
        <w:t>1. Number of people covered refers to staff and workers who have participated in maternity insurance programme according to relevant regulation at the end of the reporting period.</w:t>
      </w:r>
    </w:p>
    <w:p w:rsidR="00186A2F" w:rsidRPr="00DD6AE6" w:rsidRDefault="00186A2F" w:rsidP="00186A2F">
      <w:pPr>
        <w:spacing w:line="330" w:lineRule="exact"/>
        <w:ind w:firstLineChars="200" w:firstLine="360"/>
        <w:rPr>
          <w:sz w:val="18"/>
          <w:szCs w:val="18"/>
        </w:rPr>
      </w:pPr>
      <w:r w:rsidRPr="00DD6AE6">
        <w:rPr>
          <w:sz w:val="18"/>
          <w:szCs w:val="18"/>
        </w:rPr>
        <w:t>2. Revenue of maternity insurance refers to payments made by employers participating in maternity insurance programs in accordance with the basis and proportion stipulated in state regulations, and income from other sources that become source of maternity insurance fund, including income of funds paid by employers, interest income and other income.</w:t>
      </w:r>
    </w:p>
    <w:p w:rsidR="00186A2F" w:rsidRPr="00DD6AE6" w:rsidRDefault="00186A2F" w:rsidP="00186A2F">
      <w:pPr>
        <w:spacing w:line="330" w:lineRule="exact"/>
        <w:ind w:firstLineChars="200" w:firstLine="360"/>
        <w:rPr>
          <w:sz w:val="18"/>
          <w:szCs w:val="18"/>
        </w:rPr>
      </w:pPr>
      <w:r w:rsidRPr="00DD6AE6">
        <w:rPr>
          <w:sz w:val="18"/>
          <w:szCs w:val="18"/>
        </w:rPr>
        <w:t>3. Expenses of maternity insurance refer to payments made from maternity insurance funds to staff and workers who participated in maternity insurance programme within the scope and standards of expenditure according to related national policies, expenses paid for pregnancy, child delivery or surgeries related to family planning, and other expenditure, including allowance for child bearing, medical fees and other expenditure.</w:t>
      </w:r>
    </w:p>
    <w:p w:rsidR="00186A2F" w:rsidRPr="00DD6AE6" w:rsidRDefault="00186A2F" w:rsidP="00186A2F">
      <w:pPr>
        <w:spacing w:line="330" w:lineRule="exact"/>
        <w:ind w:firstLineChars="200" w:firstLine="360"/>
        <w:rPr>
          <w:sz w:val="18"/>
          <w:szCs w:val="18"/>
        </w:rPr>
      </w:pPr>
      <w:r w:rsidRPr="00DD6AE6">
        <w:rPr>
          <w:sz w:val="18"/>
          <w:szCs w:val="18"/>
        </w:rPr>
        <w:lastRenderedPageBreak/>
        <w:t>4. Balance of the maternity insurance refers to the balance of the maternity insurance funds at the end of reference period, including bank savings, special fiscal account, investment in funds and others.</w:t>
      </w:r>
    </w:p>
    <w:p w:rsidR="00186A2F" w:rsidRPr="00DD6AE6" w:rsidRDefault="00186A2F" w:rsidP="00186A2F">
      <w:pPr>
        <w:spacing w:line="330" w:lineRule="exact"/>
        <w:ind w:firstLineChars="200" w:firstLine="361"/>
        <w:rPr>
          <w:sz w:val="18"/>
          <w:szCs w:val="18"/>
        </w:rPr>
      </w:pPr>
      <w:r w:rsidRPr="00211E07">
        <w:rPr>
          <w:b/>
          <w:sz w:val="18"/>
          <w:szCs w:val="18"/>
        </w:rPr>
        <w:t>Insurance and Welfare Funds for Retirees</w:t>
      </w:r>
      <w:r w:rsidRPr="00DD6AE6">
        <w:rPr>
          <w:sz w:val="18"/>
          <w:szCs w:val="18"/>
        </w:rPr>
        <w:t xml:space="preserve">  refer to the total payment for living expenses actually received by retirees, including payment received from social insurance management agencies and units.                                                              </w:t>
      </w:r>
    </w:p>
    <w:p w:rsidR="00186A2F" w:rsidRPr="00DD6AE6" w:rsidRDefault="00186A2F" w:rsidP="00186A2F">
      <w:pPr>
        <w:spacing w:line="330" w:lineRule="exact"/>
        <w:ind w:firstLineChars="200" w:firstLine="360"/>
        <w:rPr>
          <w:sz w:val="18"/>
          <w:szCs w:val="18"/>
        </w:rPr>
      </w:pPr>
      <w:r w:rsidRPr="00DD6AE6">
        <w:rPr>
          <w:sz w:val="18"/>
          <w:szCs w:val="18"/>
        </w:rPr>
        <w:t>1. Pensions for retired veteran cadres refer to living expenses paid to retired veteran cadres according to related regulations.</w:t>
      </w:r>
    </w:p>
    <w:p w:rsidR="00186A2F" w:rsidRPr="00DD6AE6" w:rsidRDefault="00186A2F" w:rsidP="00186A2F">
      <w:pPr>
        <w:spacing w:line="330" w:lineRule="exact"/>
        <w:ind w:firstLineChars="200" w:firstLine="360"/>
        <w:rPr>
          <w:sz w:val="18"/>
          <w:szCs w:val="18"/>
        </w:rPr>
      </w:pPr>
      <w:r w:rsidRPr="00DD6AE6">
        <w:rPr>
          <w:sz w:val="18"/>
          <w:szCs w:val="18"/>
        </w:rPr>
        <w:t>2. Pensions for retirement refer to living expenses paid to retired staff and workers according to related regulations.</w:t>
      </w:r>
    </w:p>
    <w:p w:rsidR="00186A2F" w:rsidRPr="00DD6AE6" w:rsidRDefault="00186A2F" w:rsidP="00186A2F">
      <w:pPr>
        <w:spacing w:line="330" w:lineRule="exact"/>
        <w:ind w:firstLineChars="200" w:firstLine="360"/>
        <w:rPr>
          <w:sz w:val="18"/>
          <w:szCs w:val="18"/>
        </w:rPr>
      </w:pPr>
      <w:r w:rsidRPr="00DD6AE6">
        <w:rPr>
          <w:sz w:val="18"/>
          <w:szCs w:val="18"/>
        </w:rPr>
        <w:t>3. Living allowances for resigned staff and workers refer to living expenses paid to resigned staff and workers according to related regulation.</w:t>
      </w:r>
    </w:p>
    <w:p w:rsidR="00186A2F" w:rsidRPr="00DD6AE6" w:rsidRDefault="00186A2F" w:rsidP="00186A2F">
      <w:pPr>
        <w:spacing w:line="330" w:lineRule="exact"/>
        <w:ind w:firstLineChars="200" w:firstLine="360"/>
        <w:rPr>
          <w:sz w:val="18"/>
          <w:szCs w:val="18"/>
        </w:rPr>
      </w:pPr>
      <w:r w:rsidRPr="00DD6AE6">
        <w:rPr>
          <w:sz w:val="18"/>
          <w:szCs w:val="18"/>
        </w:rPr>
        <w:t>4. Medical care expenses refer to medical fees, hospitalization cost and per diem subsidies during hospitalizations paid by employers directly to retirees.</w:t>
      </w:r>
    </w:p>
    <w:p w:rsidR="00186A2F" w:rsidRDefault="00186A2F" w:rsidP="00186A2F">
      <w:pPr>
        <w:spacing w:line="330" w:lineRule="exact"/>
        <w:ind w:firstLineChars="200" w:firstLine="360"/>
        <w:rPr>
          <w:rFonts w:hint="eastAsia"/>
          <w:sz w:val="18"/>
          <w:szCs w:val="18"/>
        </w:rPr>
      </w:pPr>
      <w:r w:rsidRPr="00DD6AE6">
        <w:rPr>
          <w:sz w:val="18"/>
          <w:szCs w:val="18"/>
        </w:rPr>
        <w:t>5. Others refer to insurance and welfare payments other than the above-mentioned payments, including funeral subsidies, living allowances, price subsidies and heating subsidies during winter.</w:t>
      </w:r>
    </w:p>
    <w:p w:rsidR="00186A2F" w:rsidRPr="00DD6AE6" w:rsidRDefault="00186A2F" w:rsidP="00186A2F">
      <w:pPr>
        <w:spacing w:line="330" w:lineRule="exact"/>
        <w:ind w:firstLineChars="200" w:firstLine="361"/>
        <w:rPr>
          <w:sz w:val="18"/>
          <w:szCs w:val="18"/>
        </w:rPr>
      </w:pPr>
      <w:r w:rsidRPr="00DD6AE6">
        <w:rPr>
          <w:b/>
          <w:sz w:val="18"/>
          <w:szCs w:val="18"/>
        </w:rPr>
        <w:t>Lawyers</w:t>
      </w:r>
      <w:r w:rsidRPr="00DD6AE6">
        <w:rPr>
          <w:sz w:val="18"/>
          <w:szCs w:val="18"/>
        </w:rPr>
        <w:t xml:space="preserve"> are certified legal workers according to law, and who are employed by legal counseling firms to act as legal advisers, agents in criminal or civil lawsuits, or defenders in criminal lawsuits, or to handle non-litigious legal affairs, to advise on matters of law or to write legal papers for others, and provide service to the public.</w:t>
      </w:r>
    </w:p>
    <w:p w:rsidR="00186A2F" w:rsidRPr="00DD6AE6" w:rsidRDefault="00186A2F" w:rsidP="00186A2F">
      <w:pPr>
        <w:spacing w:line="330" w:lineRule="exact"/>
        <w:ind w:firstLineChars="200" w:firstLine="361"/>
        <w:rPr>
          <w:sz w:val="18"/>
          <w:szCs w:val="18"/>
        </w:rPr>
      </w:pPr>
      <w:r w:rsidRPr="00DD6AE6">
        <w:rPr>
          <w:b/>
          <w:sz w:val="18"/>
          <w:szCs w:val="18"/>
        </w:rPr>
        <w:t>Notary Personnel</w:t>
      </w:r>
      <w:r w:rsidRPr="00DD6AE6">
        <w:rPr>
          <w:sz w:val="18"/>
          <w:szCs w:val="18"/>
        </w:rPr>
        <w:t xml:space="preserve">  refers to people working for notary offices including: directors, deputy director, notaries, assistant notaries, and other people providing assistance.</w:t>
      </w:r>
    </w:p>
    <w:p w:rsidR="00186A2F" w:rsidRPr="00DD6AE6" w:rsidRDefault="00186A2F" w:rsidP="00186A2F">
      <w:pPr>
        <w:spacing w:line="330" w:lineRule="exact"/>
        <w:ind w:firstLineChars="200" w:firstLine="361"/>
        <w:rPr>
          <w:sz w:val="18"/>
          <w:szCs w:val="18"/>
        </w:rPr>
      </w:pPr>
      <w:r w:rsidRPr="00DD6AE6">
        <w:rPr>
          <w:b/>
          <w:sz w:val="18"/>
          <w:szCs w:val="18"/>
        </w:rPr>
        <w:t>Notary Documents</w:t>
      </w:r>
      <w:r w:rsidRPr="00DD6AE6">
        <w:rPr>
          <w:sz w:val="18"/>
          <w:szCs w:val="18"/>
        </w:rPr>
        <w:t xml:space="preserve">  refer to the judicatory notary documents drawn up by the request of the party and are in accordance with facts and laws and following certain legal proceedings. According to usage and locality, the notary documents are divided into following 4 types: domestic notary documents, domestic economic notary documents, foreign-related civil notary documents and foreign-related economic notary documents. </w:t>
      </w:r>
    </w:p>
    <w:p w:rsidR="00186A2F" w:rsidRPr="00DD6AE6" w:rsidRDefault="00186A2F" w:rsidP="00186A2F">
      <w:pPr>
        <w:spacing w:line="330" w:lineRule="exact"/>
        <w:ind w:firstLineChars="200" w:firstLine="361"/>
        <w:rPr>
          <w:sz w:val="18"/>
          <w:szCs w:val="18"/>
        </w:rPr>
      </w:pPr>
      <w:r w:rsidRPr="00DD6AE6">
        <w:rPr>
          <w:b/>
          <w:sz w:val="18"/>
          <w:szCs w:val="18"/>
        </w:rPr>
        <w:t>Mediators</w:t>
      </w:r>
      <w:r w:rsidRPr="00DD6AE6">
        <w:rPr>
          <w:sz w:val="18"/>
          <w:szCs w:val="18"/>
        </w:rPr>
        <w:t xml:space="preserve">  refer to workers on peoples mediation committees responsible for mediating in civil disputes and cases of slight infraction of the law. They include members of the mediation committees and mediators of mediation groups. This indicator reflects the number of people engaged in meditation.</w:t>
      </w:r>
    </w:p>
    <w:p w:rsidR="00186A2F" w:rsidRPr="00DD6AE6" w:rsidRDefault="00186A2F" w:rsidP="00186A2F">
      <w:pPr>
        <w:spacing w:line="330" w:lineRule="exact"/>
        <w:ind w:firstLineChars="200" w:firstLine="361"/>
        <w:rPr>
          <w:sz w:val="18"/>
          <w:szCs w:val="18"/>
        </w:rPr>
      </w:pPr>
      <w:r w:rsidRPr="00DD6AE6">
        <w:rPr>
          <w:b/>
          <w:sz w:val="18"/>
          <w:szCs w:val="18"/>
        </w:rPr>
        <w:t>Mediation of Civil Disputes</w:t>
      </w:r>
      <w:r w:rsidRPr="00DD6AE6">
        <w:rPr>
          <w:sz w:val="18"/>
          <w:szCs w:val="18"/>
        </w:rPr>
        <w:t xml:space="preserve">  refers to number of cases made by mediation committees in mediating in civil disputes concerning civil rights and duties through persuasion and education in accordance with the provisions of law on a voluntary basis, so as to solve disputes by helping the parties involved come to an agreement and understanding, including those unsuccessful ones. This indicator reflects the workload of the mediation committees.</w:t>
      </w:r>
    </w:p>
    <w:p w:rsidR="00186A2F" w:rsidRPr="00DD6AE6" w:rsidRDefault="00186A2F" w:rsidP="00186A2F">
      <w:pPr>
        <w:spacing w:line="330" w:lineRule="exact"/>
        <w:ind w:firstLineChars="200" w:firstLine="361"/>
        <w:rPr>
          <w:sz w:val="18"/>
          <w:szCs w:val="18"/>
        </w:rPr>
      </w:pPr>
      <w:r w:rsidRPr="00DD6AE6">
        <w:rPr>
          <w:b/>
          <w:sz w:val="18"/>
          <w:szCs w:val="18"/>
        </w:rPr>
        <w:t>Acceptance of Case</w:t>
      </w:r>
      <w:r w:rsidRPr="00DD6AE6">
        <w:rPr>
          <w:sz w:val="18"/>
          <w:szCs w:val="18"/>
        </w:rPr>
        <w:t xml:space="preserve">  refers to the decision made by the people’s procuratorate office on reported cases, prosecution, impeachment, surrender, self-found criminal clues or suspects after initial investigation to confirm the act of crime and to start legal proceedings of the case as criminal case.</w:t>
      </w:r>
    </w:p>
    <w:p w:rsidR="00186A2F" w:rsidRPr="00DD6AE6" w:rsidRDefault="00186A2F" w:rsidP="00186A2F">
      <w:pPr>
        <w:spacing w:line="330" w:lineRule="exact"/>
        <w:ind w:firstLineChars="200" w:firstLine="361"/>
        <w:rPr>
          <w:sz w:val="18"/>
          <w:szCs w:val="18"/>
        </w:rPr>
      </w:pPr>
      <w:r w:rsidRPr="00DD6AE6">
        <w:rPr>
          <w:b/>
          <w:sz w:val="18"/>
          <w:szCs w:val="18"/>
        </w:rPr>
        <w:t>Large Cases</w:t>
      </w:r>
      <w:r w:rsidRPr="00DD6AE6">
        <w:rPr>
          <w:sz w:val="18"/>
          <w:szCs w:val="18"/>
        </w:rPr>
        <w:t xml:space="preserve">  refer to cases involving a corruption or bribery of over 50,000 yuan, or a misappropriation of over 100,000 yuan. Cases of collectively illegal possession of public funds, unstated sources of large properties, or disguised overseas savings deposits involving 500,000 yuan, or a case that has been defined by the “Standard on Serious and Large Cases of Misconduct and Tortious that Directly Accepted by People’s Procurators Office (trial)”. This indicator mainly reflects number of accepted cases of job-related criminals that caused serious economic losses or extremely harmful to the society.</w:t>
      </w:r>
    </w:p>
    <w:p w:rsidR="00186A2F" w:rsidRPr="00DD6AE6" w:rsidRDefault="00186A2F" w:rsidP="00186A2F">
      <w:pPr>
        <w:spacing w:line="330" w:lineRule="exact"/>
        <w:ind w:firstLineChars="200" w:firstLine="361"/>
        <w:rPr>
          <w:sz w:val="18"/>
          <w:szCs w:val="18"/>
        </w:rPr>
      </w:pPr>
      <w:r w:rsidRPr="00DD6AE6">
        <w:rPr>
          <w:b/>
          <w:sz w:val="18"/>
          <w:szCs w:val="18"/>
        </w:rPr>
        <w:t>Key Cases</w:t>
      </w:r>
      <w:r w:rsidRPr="00DD6AE6">
        <w:rPr>
          <w:sz w:val="18"/>
          <w:szCs w:val="18"/>
        </w:rPr>
        <w:t xml:space="preserve">  refer to cases committed by government officials with a ranking of division director or county administrator. This indicator mainly reflects the recorded and spied on cases by the people’s procurators offices toward government official with a ranking of division director or county administrator.</w:t>
      </w:r>
    </w:p>
    <w:p w:rsidR="00186A2F" w:rsidRPr="00DD6AE6" w:rsidRDefault="00186A2F" w:rsidP="00186A2F">
      <w:pPr>
        <w:spacing w:line="330" w:lineRule="exact"/>
        <w:ind w:firstLineChars="200" w:firstLine="361"/>
        <w:rPr>
          <w:sz w:val="18"/>
          <w:szCs w:val="18"/>
        </w:rPr>
      </w:pPr>
      <w:r w:rsidRPr="00DD6AE6">
        <w:rPr>
          <w:b/>
          <w:sz w:val="18"/>
          <w:szCs w:val="18"/>
        </w:rPr>
        <w:t>Decision on Arrest</w:t>
      </w:r>
      <w:r w:rsidRPr="00DD6AE6">
        <w:rPr>
          <w:sz w:val="18"/>
          <w:szCs w:val="18"/>
        </w:rPr>
        <w:t xml:space="preserve">  refers to decision made by people’s procurators office, in accordance with laws, to arrest the suspect(s) in the cases that are accepted and to be investigated by procurators office. This indicator mainly reflects the implementation of the decision on arrest by people’s procurators office. </w:t>
      </w:r>
    </w:p>
    <w:p w:rsidR="00186A2F" w:rsidRPr="00DD6AE6" w:rsidRDefault="00186A2F" w:rsidP="00186A2F">
      <w:pPr>
        <w:spacing w:line="330" w:lineRule="exact"/>
        <w:ind w:firstLineChars="200" w:firstLine="361"/>
        <w:rPr>
          <w:sz w:val="18"/>
          <w:szCs w:val="18"/>
        </w:rPr>
      </w:pPr>
      <w:r w:rsidRPr="00DD6AE6">
        <w:rPr>
          <w:b/>
          <w:sz w:val="18"/>
          <w:szCs w:val="18"/>
        </w:rPr>
        <w:t>Approval for Arrest</w:t>
      </w:r>
      <w:r w:rsidRPr="00DD6AE6">
        <w:rPr>
          <w:sz w:val="18"/>
          <w:szCs w:val="18"/>
        </w:rPr>
        <w:t xml:space="preserve">  refers to the decision made by people’s procurators office, in accordance with laws and relevant facts, to approve the arrest of the suspect(s) that is proposed by the public security departments, state security departments or authority of prisons. </w:t>
      </w:r>
      <w:r w:rsidRPr="00DD6AE6">
        <w:rPr>
          <w:sz w:val="18"/>
          <w:szCs w:val="18"/>
        </w:rPr>
        <w:lastRenderedPageBreak/>
        <w:t>This indicator reflects approved arrests made by people’s procurators office that are proposed by related departments.</w:t>
      </w:r>
    </w:p>
    <w:p w:rsidR="00186A2F" w:rsidRPr="00DD6AE6" w:rsidRDefault="00186A2F" w:rsidP="00186A2F">
      <w:pPr>
        <w:spacing w:line="330" w:lineRule="exact"/>
        <w:ind w:firstLineChars="200" w:firstLine="361"/>
        <w:rPr>
          <w:sz w:val="18"/>
          <w:szCs w:val="18"/>
        </w:rPr>
      </w:pPr>
      <w:r w:rsidRPr="00211E07">
        <w:rPr>
          <w:b/>
          <w:sz w:val="18"/>
          <w:szCs w:val="18"/>
        </w:rPr>
        <w:t>Decision on Prosecution</w:t>
      </w:r>
      <w:r w:rsidRPr="00DD6AE6">
        <w:rPr>
          <w:sz w:val="18"/>
          <w:szCs w:val="18"/>
        </w:rPr>
        <w:t xml:space="preserve">  refers to the decision made by people’s procurators office, in accordance with laws and relevant facts, to institute proceedings to the people’s court against the suspect(s) of criminal cases handed over by the public security departments, state security departments or authority of prisons, or by the anti-corruption departments within the procurators office. This indicator reflects the condition of the prosecutions made by people’s procurators office toward the people’s court.</w:t>
      </w:r>
    </w:p>
    <w:p w:rsidR="00186A2F" w:rsidRPr="00DD6AE6" w:rsidRDefault="00186A2F" w:rsidP="00186A2F">
      <w:pPr>
        <w:spacing w:line="330" w:lineRule="exact"/>
        <w:ind w:firstLineChars="200" w:firstLine="361"/>
        <w:rPr>
          <w:sz w:val="18"/>
          <w:szCs w:val="18"/>
        </w:rPr>
      </w:pPr>
      <w:r w:rsidRPr="00211E07">
        <w:rPr>
          <w:b/>
          <w:sz w:val="18"/>
          <w:szCs w:val="18"/>
        </w:rPr>
        <w:t>Appeals</w:t>
      </w:r>
      <w:r w:rsidRPr="00DD6AE6">
        <w:rPr>
          <w:sz w:val="18"/>
          <w:szCs w:val="18"/>
        </w:rPr>
        <w:t xml:space="preserve"> </w:t>
      </w:r>
      <w:r>
        <w:rPr>
          <w:rFonts w:hint="eastAsia"/>
          <w:sz w:val="18"/>
          <w:szCs w:val="18"/>
        </w:rPr>
        <w:t xml:space="preserve"> </w:t>
      </w:r>
      <w:r w:rsidRPr="00DD6AE6">
        <w:rPr>
          <w:sz w:val="18"/>
          <w:szCs w:val="18"/>
        </w:rPr>
        <w:t>refer to cases transferred to the appeal departments of procurator’s offices after initial review by departments dealing with complaint letters and calls of the public. Included are appeals against decisions made by procurator’s offices and appeals against court rules and verdicts.</w:t>
      </w:r>
    </w:p>
    <w:p w:rsidR="00186A2F" w:rsidRPr="00DD6AE6" w:rsidRDefault="00186A2F" w:rsidP="00186A2F">
      <w:pPr>
        <w:spacing w:line="330" w:lineRule="exact"/>
        <w:ind w:firstLineChars="200" w:firstLine="361"/>
        <w:rPr>
          <w:sz w:val="18"/>
          <w:szCs w:val="18"/>
        </w:rPr>
      </w:pPr>
      <w:r w:rsidRPr="00211E07">
        <w:rPr>
          <w:b/>
          <w:sz w:val="18"/>
          <w:szCs w:val="18"/>
        </w:rPr>
        <w:t>Number of Labor Dispute Cases Accepted</w:t>
      </w:r>
      <w:r w:rsidRPr="00DD6AE6">
        <w:rPr>
          <w:sz w:val="18"/>
          <w:szCs w:val="18"/>
        </w:rPr>
        <w:t xml:space="preserve">  refers to the number of cases of labor dispute submitted that, after being reviewed by the labor dispute arbitration committees in line with the relevant national regulations, are accepted and registered for treatment.</w:t>
      </w:r>
    </w:p>
    <w:p w:rsidR="00186A2F" w:rsidRPr="00211E07" w:rsidRDefault="00186A2F" w:rsidP="00186A2F">
      <w:pPr>
        <w:spacing w:line="330" w:lineRule="exact"/>
        <w:ind w:firstLineChars="200" w:firstLine="361"/>
        <w:rPr>
          <w:b/>
          <w:sz w:val="18"/>
          <w:szCs w:val="18"/>
        </w:rPr>
      </w:pPr>
      <w:r w:rsidRPr="00211E07">
        <w:rPr>
          <w:b/>
          <w:sz w:val="18"/>
          <w:szCs w:val="18"/>
        </w:rPr>
        <w:t>Basic Pension Insurance</w:t>
      </w:r>
    </w:p>
    <w:p w:rsidR="00186A2F" w:rsidRPr="00DD6AE6" w:rsidRDefault="00186A2F" w:rsidP="00186A2F">
      <w:pPr>
        <w:spacing w:line="330" w:lineRule="exact"/>
        <w:ind w:firstLineChars="200" w:firstLine="360"/>
        <w:rPr>
          <w:sz w:val="18"/>
          <w:szCs w:val="18"/>
        </w:rPr>
      </w:pPr>
      <w:r w:rsidRPr="00DD6AE6">
        <w:rPr>
          <w:sz w:val="18"/>
          <w:szCs w:val="18"/>
        </w:rPr>
        <w:t>1.Number of staff and workers covered refer to staff and workers participating in basic pension insurance programme in line with national laws, regulations and related policies by the end of reference period, who have already had payment records in social security management agencies, including those who interrupt payment without terminating the insurance programme. Those who have registered in the programme with no payment records are not included.</w:t>
      </w:r>
    </w:p>
    <w:p w:rsidR="00186A2F" w:rsidRPr="00DD6AE6" w:rsidRDefault="00186A2F" w:rsidP="00186A2F">
      <w:pPr>
        <w:spacing w:line="330" w:lineRule="exact"/>
        <w:ind w:firstLineChars="200" w:firstLine="360"/>
        <w:rPr>
          <w:sz w:val="18"/>
          <w:szCs w:val="18"/>
        </w:rPr>
      </w:pPr>
      <w:r w:rsidRPr="00DD6AE6">
        <w:rPr>
          <w:sz w:val="18"/>
          <w:szCs w:val="18"/>
        </w:rPr>
        <w:t>2. Number of retirees participating in basic pension insurance programme refer to number of retirees participating in basic pension insurance programme by the end of reference period.</w:t>
      </w:r>
    </w:p>
    <w:p w:rsidR="00186A2F" w:rsidRPr="00DD6AE6" w:rsidRDefault="00186A2F" w:rsidP="00186A2F">
      <w:pPr>
        <w:spacing w:line="330" w:lineRule="exact"/>
        <w:ind w:firstLineChars="200" w:firstLine="360"/>
        <w:rPr>
          <w:sz w:val="18"/>
          <w:szCs w:val="18"/>
        </w:rPr>
      </w:pPr>
      <w:r w:rsidRPr="00DD6AE6">
        <w:rPr>
          <w:sz w:val="18"/>
          <w:szCs w:val="18"/>
        </w:rPr>
        <w:t>3. Revenue of basic pension insurance refer to payments made by employers and individuals participating in pension insurance programs in accordance with the basis and proportion stipulated in state regulations, and income from other sources that become source of pension insurance fund, including the premium paid by employers and staff and works, interest income, subsidies from higher level agencies, income as transfer from subordinate agencies, transferred income, government financial subsidies and other income.</w:t>
      </w:r>
    </w:p>
    <w:p w:rsidR="00186A2F" w:rsidRPr="00DD6AE6" w:rsidRDefault="00186A2F" w:rsidP="00186A2F">
      <w:pPr>
        <w:spacing w:line="330" w:lineRule="exact"/>
        <w:ind w:firstLineChars="200" w:firstLine="360"/>
        <w:rPr>
          <w:sz w:val="18"/>
          <w:szCs w:val="18"/>
        </w:rPr>
      </w:pPr>
      <w:r w:rsidRPr="00DD6AE6">
        <w:rPr>
          <w:sz w:val="18"/>
          <w:szCs w:val="18"/>
        </w:rPr>
        <w:t>4. Expenses of basic pension insurance  refer to payment made to those retired and resigned people covered in pension insurance program in terms of pension or compensation within the scope and standards of expenditure according to related national policies, and expenditure occurred due to shift of the insurance relationship or adjustment of funds among agencies, including pension for resigned people, pension for retired people, pension for people quitting jobs, various subsidies, medical fees, funeral subsidies, compensation pension, management fees for social security agencies, expenses on subsidies to lower subordinates, expenses as transfer to agencies at higher level, transferred expenditure and other expenditure.</w:t>
      </w:r>
    </w:p>
    <w:p w:rsidR="00186A2F" w:rsidRPr="00DD6AE6" w:rsidRDefault="00186A2F" w:rsidP="00186A2F">
      <w:pPr>
        <w:spacing w:line="330" w:lineRule="exact"/>
        <w:ind w:firstLineChars="200" w:firstLine="360"/>
        <w:rPr>
          <w:sz w:val="18"/>
          <w:szCs w:val="18"/>
        </w:rPr>
      </w:pPr>
      <w:r w:rsidRPr="00DD6AE6">
        <w:rPr>
          <w:sz w:val="18"/>
          <w:szCs w:val="18"/>
        </w:rPr>
        <w:t>5. Balance of basic pension insurance refers to the balance of basic pension insurance at the end of the reference period after deducting expenses from revenue.</w:t>
      </w:r>
    </w:p>
    <w:p w:rsidR="00186A2F" w:rsidRPr="00DD6AE6" w:rsidRDefault="00186A2F" w:rsidP="00186A2F">
      <w:pPr>
        <w:spacing w:line="330" w:lineRule="exact"/>
        <w:ind w:firstLineChars="200" w:firstLine="361"/>
        <w:rPr>
          <w:sz w:val="18"/>
          <w:szCs w:val="18"/>
        </w:rPr>
      </w:pPr>
      <w:r w:rsidRPr="00211E07">
        <w:rPr>
          <w:b/>
          <w:sz w:val="18"/>
          <w:szCs w:val="18"/>
        </w:rPr>
        <w:t>Retired or Resigned Personnel</w:t>
      </w:r>
      <w:r w:rsidRPr="00DD6AE6">
        <w:rPr>
          <w:sz w:val="18"/>
          <w:szCs w:val="18"/>
        </w:rPr>
        <w:t xml:space="preserve">  refers to people who have formally completed formalities for their retirement or quitting work and enjoy the corresponding retirement treatments.</w:t>
      </w:r>
    </w:p>
    <w:p w:rsidR="00186A2F" w:rsidRPr="00D33383" w:rsidRDefault="00186A2F" w:rsidP="00186A2F">
      <w:pPr>
        <w:spacing w:line="330" w:lineRule="exact"/>
        <w:ind w:firstLineChars="200" w:firstLine="420"/>
        <w:rPr>
          <w:rFonts w:hint="eastAsia"/>
        </w:rPr>
      </w:pPr>
    </w:p>
    <w:p w:rsidR="00186A2F" w:rsidRPr="0041313F" w:rsidRDefault="00186A2F" w:rsidP="00186A2F">
      <w:pPr>
        <w:rPr>
          <w:rFonts w:hint="eastAsia"/>
        </w:rPr>
      </w:pPr>
    </w:p>
    <w:p w:rsidR="00186A2F" w:rsidRPr="00B519BE" w:rsidRDefault="00186A2F" w:rsidP="00186A2F">
      <w:pPr>
        <w:rPr>
          <w:rFonts w:hint="eastAsia"/>
        </w:rPr>
      </w:pPr>
    </w:p>
    <w:p w:rsidR="00186A2F" w:rsidRDefault="00186A2F" w:rsidP="00186A2F"/>
    <w:p w:rsidR="00186A2F" w:rsidRPr="00C31914" w:rsidRDefault="00186A2F" w:rsidP="00186A2F">
      <w:pPr>
        <w:rPr>
          <w:rFonts w:hint="eastAsia"/>
        </w:rPr>
      </w:pPr>
    </w:p>
    <w:p w:rsidR="004C6226" w:rsidRPr="00186A2F" w:rsidRDefault="00186A2F">
      <w:bookmarkStart w:id="0" w:name="_GoBack"/>
      <w:bookmarkEnd w:id="0"/>
    </w:p>
    <w:sectPr w:rsidR="004C6226" w:rsidRPr="00186A2F" w:rsidSect="000E42AE">
      <w:headerReference w:type="even" r:id="rId4"/>
      <w:headerReference w:type="default" r:id="rId5"/>
      <w:footerReference w:type="even" r:id="rId6"/>
      <w:footerReference w:type="default" r:id="rId7"/>
      <w:pgSz w:w="11906" w:h="16838" w:code="9"/>
      <w:pgMar w:top="1021" w:right="1077" w:bottom="1247" w:left="1077" w:header="510" w:footer="624" w:gutter="0"/>
      <w:pgNumType w:start="489"/>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汉仪中黑简">
    <w:altName w:val="Arial Unicode MS"/>
    <w:charset w:val="86"/>
    <w:family w:val="modern"/>
    <w:pitch w:val="fixed"/>
    <w:sig w:usb0="00000000" w:usb1="080E0800" w:usb2="00000012" w:usb3="00000000" w:csb0="00040000" w:csb1="00000000"/>
  </w:font>
  <w:font w:name="华文中宋">
    <w:panose1 w:val="02010600040101010101"/>
    <w:charset w:val="86"/>
    <w:family w:val="auto"/>
    <w:pitch w:val="variable"/>
    <w:sig w:usb0="00000287" w:usb1="080F0000" w:usb2="00000010" w:usb3="00000000" w:csb0="0004009F" w:csb1="00000000"/>
  </w:font>
  <w:font w:name="汉仪书宋一简">
    <w:altName w:val="Arial Unicode MS"/>
    <w:charset w:val="86"/>
    <w:family w:val="modern"/>
    <w:pitch w:val="fixed"/>
    <w:sig w:usb0="00000000" w:usb1="080E0800" w:usb2="00000012" w:usb3="00000000" w:csb0="00040000" w:csb1="00000000"/>
  </w:font>
  <w:font w:name="汉仪报宋简">
    <w:altName w:val="Arial Unicode MS"/>
    <w:charset w:val="86"/>
    <w:family w:val="modern"/>
    <w:pitch w:val="fixed"/>
    <w:sig w:usb0="00000000" w:usb1="080E0800" w:usb2="00000012"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9216AE" w:rsidRDefault="00186A2F" w:rsidP="00862778">
    <w:pPr>
      <w:pStyle w:val="a3"/>
      <w:framePr w:w="458" w:wrap="around" w:vAnchor="text" w:hAnchor="page" w:x="1621" w:y="195"/>
      <w:jc w:val="center"/>
      <w:rPr>
        <w:rStyle w:val="a4"/>
      </w:rPr>
    </w:pPr>
    <w:r w:rsidRPr="009216AE">
      <w:rPr>
        <w:rStyle w:val="a4"/>
      </w:rPr>
      <w:fldChar w:fldCharType="begin"/>
    </w:r>
    <w:r w:rsidRPr="009216AE">
      <w:rPr>
        <w:rStyle w:val="a4"/>
      </w:rPr>
      <w:instrText xml:space="preserve">PAGE  </w:instrText>
    </w:r>
    <w:r w:rsidRPr="009216AE">
      <w:rPr>
        <w:rStyle w:val="a4"/>
      </w:rPr>
      <w:fldChar w:fldCharType="separate"/>
    </w:r>
    <w:r>
      <w:rPr>
        <w:rStyle w:val="a4"/>
        <w:noProof/>
      </w:rPr>
      <w:t>510</w:t>
    </w:r>
    <w:r w:rsidRPr="009216AE">
      <w:rPr>
        <w:rStyle w:val="a4"/>
      </w:rPr>
      <w:fldChar w:fldCharType="end"/>
    </w:r>
  </w:p>
  <w:p w:rsidR="00E91F2D" w:rsidRDefault="00186A2F" w:rsidP="00D256C6">
    <w:pPr>
      <w:pStyle w:val="a3"/>
      <w:tabs>
        <w:tab w:val="clear" w:pos="4153"/>
        <w:tab w:val="clear" w:pos="8306"/>
      </w:tabs>
      <w:ind w:right="88"/>
    </w:pPr>
    <w:r>
      <w:rPr>
        <w:noProof/>
      </w:rPr>
      <w:drawing>
        <wp:inline distT="0" distB="0" distL="0" distR="0">
          <wp:extent cx="790575" cy="390525"/>
          <wp:effectExtent l="0" t="0" r="9525" b="9525"/>
          <wp:docPr id="2" name="图片 2" descr="左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左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D56662" w:rsidRDefault="00186A2F" w:rsidP="00862778">
    <w:pPr>
      <w:pStyle w:val="a3"/>
      <w:framePr w:w="414" w:wrap="around" w:vAnchor="text" w:hAnchor="page" w:x="9849" w:y="210"/>
      <w:jc w:val="center"/>
      <w:rPr>
        <w:rStyle w:val="a4"/>
      </w:rPr>
    </w:pPr>
    <w:r w:rsidRPr="00D56662">
      <w:rPr>
        <w:rStyle w:val="a4"/>
      </w:rPr>
      <w:fldChar w:fldCharType="begin"/>
    </w:r>
    <w:r w:rsidRPr="00D56662">
      <w:rPr>
        <w:rStyle w:val="a4"/>
      </w:rPr>
      <w:instrText xml:space="preserve">PAGE  </w:instrText>
    </w:r>
    <w:r w:rsidRPr="00D56662">
      <w:rPr>
        <w:rStyle w:val="a4"/>
      </w:rPr>
      <w:fldChar w:fldCharType="separate"/>
    </w:r>
    <w:r>
      <w:rPr>
        <w:rStyle w:val="a4"/>
        <w:noProof/>
      </w:rPr>
      <w:t>489</w:t>
    </w:r>
    <w:r w:rsidRPr="00D56662">
      <w:rPr>
        <w:rStyle w:val="a4"/>
      </w:rPr>
      <w:fldChar w:fldCharType="end"/>
    </w:r>
  </w:p>
  <w:p w:rsidR="00E91F2D" w:rsidRDefault="00186A2F" w:rsidP="00D56662">
    <w:pPr>
      <w:pStyle w:val="a3"/>
      <w:tabs>
        <w:tab w:val="clear" w:pos="4153"/>
        <w:tab w:val="clear" w:pos="8306"/>
      </w:tabs>
      <w:ind w:right="23"/>
      <w:jc w:val="right"/>
      <w:rPr>
        <w:rFonts w:hint="eastAsia"/>
      </w:rPr>
    </w:pPr>
    <w:r>
      <w:rPr>
        <w:rFonts w:hint="eastAsia"/>
        <w:noProof/>
      </w:rPr>
      <w:drawing>
        <wp:inline distT="0" distB="0" distL="0" distR="0">
          <wp:extent cx="790575" cy="390525"/>
          <wp:effectExtent l="0" t="0" r="9525" b="9525"/>
          <wp:docPr id="1" name="图片 1" descr="右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右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AE" w:rsidRDefault="00186A2F" w:rsidP="009216AE">
    <w:r>
      <w:rPr>
        <w:noProof/>
      </w:rPr>
      <mc:AlternateContent>
        <mc:Choice Requires="wps">
          <w:drawing>
            <wp:anchor distT="0" distB="0" distL="114300" distR="114300" simplePos="0" relativeHeight="251660288" behindDoc="0" locked="0" layoutInCell="1" allowOverlap="1">
              <wp:simplePos x="0" y="0"/>
              <wp:positionH relativeFrom="column">
                <wp:posOffset>450215</wp:posOffset>
              </wp:positionH>
              <wp:positionV relativeFrom="paragraph">
                <wp:posOffset>80645</wp:posOffset>
              </wp:positionV>
              <wp:extent cx="2592705" cy="109220"/>
              <wp:effectExtent l="2540" t="4445" r="0" b="63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6AE" w:rsidRPr="009216AE" w:rsidRDefault="00186A2F" w:rsidP="009216AE">
                          <w:pPr>
                            <w:rPr>
                              <w:rFonts w:eastAsia="汉仪报宋简" w:hint="eastAsia"/>
                              <w:sz w:val="15"/>
                              <w:szCs w:val="15"/>
                            </w:rPr>
                          </w:pPr>
                          <w:r>
                            <w:rPr>
                              <w:rFonts w:eastAsia="汉仪报宋简" w:hint="eastAsia"/>
                              <w:sz w:val="15"/>
                              <w:szCs w:val="15"/>
                            </w:rPr>
                            <w:t>Public Management and Other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35.45pt;margin-top:6.35pt;width:204.15pt;height: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" filled="f" stroked="f">
              <v:textbox style="mso-fit-shape-to-text:t" inset="0,0,0,0">
                <w:txbxContent>
                  <w:p w:rsidR="009216AE" w:rsidRPr="009216AE" w:rsidRDefault="00186A2F" w:rsidP="009216AE">
                    <w:pPr>
                      <w:rPr>
                        <w:rFonts w:eastAsia="汉仪报宋简" w:hint="eastAsia"/>
                        <w:sz w:val="15"/>
                        <w:szCs w:val="15"/>
                      </w:rPr>
                    </w:pPr>
                    <w:r>
                      <w:rPr>
                        <w:rFonts w:eastAsia="汉仪报宋简" w:hint="eastAsia"/>
                        <w:sz w:val="15"/>
                        <w:szCs w:val="15"/>
                      </w:rPr>
                      <w:t>Public Management and Other</w:t>
                    </w:r>
                  </w:p>
                </w:txbxContent>
              </v:textbox>
            </v:shape>
          </w:pict>
        </mc:Fallback>
      </mc:AlternateContent>
    </w:r>
    <w:r>
      <w:rPr>
        <w:rFonts w:hint="eastAsia"/>
        <w:noProof/>
      </w:rPr>
      <w:drawing>
        <wp:inline distT="0" distB="0" distL="0" distR="0">
          <wp:extent cx="266700" cy="247650"/>
          <wp:effectExtent l="0" t="0" r="0" b="0"/>
          <wp:docPr id="4" name="图片 4"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EE4" w:rsidRPr="00694384" w:rsidRDefault="00186A2F" w:rsidP="00694384">
    <w:pPr>
      <w:jc w:val="right"/>
      <w:rPr>
        <w:rFonts w:hint="eastAsia"/>
        <w:szCs w:val="18"/>
      </w:rPr>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4862830</wp:posOffset>
              </wp:positionH>
              <wp:positionV relativeFrom="paragraph">
                <wp:posOffset>83185</wp:posOffset>
              </wp:positionV>
              <wp:extent cx="905510" cy="165735"/>
              <wp:effectExtent l="0" t="0" r="381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4384" w:rsidRPr="003408D1" w:rsidRDefault="00186A2F" w:rsidP="00694384">
                          <w:pPr>
                            <w:jc w:val="right"/>
                            <w:rPr>
                              <w:rFonts w:ascii="宋体" w:hAnsi="宋体" w:cs="宋体" w:hint="eastAsia"/>
                              <w:sz w:val="15"/>
                              <w:szCs w:val="15"/>
                            </w:rPr>
                          </w:pPr>
                          <w:r>
                            <w:rPr>
                              <w:rFonts w:ascii="汉仪书宋一简" w:eastAsia="汉仪书宋一简" w:hint="eastAsia"/>
                              <w:sz w:val="15"/>
                              <w:szCs w:val="15"/>
                            </w:rPr>
                            <w:t>公共</w:t>
                          </w:r>
                          <w:r>
                            <w:rPr>
                              <w:rFonts w:ascii="宋体" w:hAnsi="宋体" w:cs="宋体" w:hint="eastAsia"/>
                              <w:sz w:val="15"/>
                              <w:szCs w:val="15"/>
                            </w:rPr>
                            <w:t>管理及其他</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382.9pt;margin-top:6.55pt;width:71.3pt;height:1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" filled="f" stroked="f">
              <v:textbox style="mso-fit-shape-to-text:t" inset="0,0,0,0">
                <w:txbxContent>
                  <w:p w:rsidR="00694384" w:rsidRPr="003408D1" w:rsidRDefault="00186A2F" w:rsidP="00694384">
                    <w:pPr>
                      <w:jc w:val="right"/>
                      <w:rPr>
                        <w:rFonts w:ascii="宋体" w:hAnsi="宋体" w:cs="宋体" w:hint="eastAsia"/>
                        <w:sz w:val="15"/>
                        <w:szCs w:val="15"/>
                      </w:rPr>
                    </w:pPr>
                    <w:r>
                      <w:rPr>
                        <w:rFonts w:ascii="汉仪书宋一简" w:eastAsia="汉仪书宋一简" w:hint="eastAsia"/>
                        <w:sz w:val="15"/>
                        <w:szCs w:val="15"/>
                      </w:rPr>
                      <w:t>公共</w:t>
                    </w:r>
                    <w:r>
                      <w:rPr>
                        <w:rFonts w:ascii="宋体" w:hAnsi="宋体" w:cs="宋体" w:hint="eastAsia"/>
                        <w:sz w:val="15"/>
                        <w:szCs w:val="15"/>
                      </w:rPr>
                      <w:t>管理及其他</w:t>
                    </w:r>
                  </w:p>
                </w:txbxContent>
              </v:textbox>
            </v:shape>
          </w:pict>
        </mc:Fallback>
      </mc:AlternateContent>
    </w:r>
    <w:r>
      <w:rPr>
        <w:rFonts w:hint="eastAsia"/>
        <w:noProof/>
      </w:rPr>
      <w:drawing>
        <wp:inline distT="0" distB="0" distL="0" distR="0">
          <wp:extent cx="266700" cy="247650"/>
          <wp:effectExtent l="0" t="0" r="0" b="0"/>
          <wp:docPr id="3" name="图片 3"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A2F"/>
    <w:rsid w:val="00186A2F"/>
    <w:rsid w:val="00BA4E86"/>
    <w:rsid w:val="00BF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DE6CF8A-42C8-4B66-85AD-8D32DC6FC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A2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186A2F"/>
    <w:pPr>
      <w:tabs>
        <w:tab w:val="center" w:pos="4153"/>
        <w:tab w:val="right" w:pos="8306"/>
      </w:tabs>
      <w:snapToGrid w:val="0"/>
      <w:jc w:val="left"/>
    </w:pPr>
    <w:rPr>
      <w:sz w:val="18"/>
      <w:szCs w:val="18"/>
    </w:rPr>
  </w:style>
  <w:style w:type="character" w:customStyle="1" w:styleId="Char">
    <w:name w:val="页脚 Char"/>
    <w:basedOn w:val="a0"/>
    <w:link w:val="a3"/>
    <w:rsid w:val="00186A2F"/>
    <w:rPr>
      <w:rFonts w:ascii="Times New Roman" w:eastAsia="宋体" w:hAnsi="Times New Roman" w:cs="Times New Roman"/>
      <w:sz w:val="18"/>
      <w:szCs w:val="18"/>
    </w:rPr>
  </w:style>
  <w:style w:type="character" w:styleId="a4">
    <w:name w:val="page number"/>
    <w:basedOn w:val="a0"/>
    <w:rsid w:val="00186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2877</Words>
  <Characters>16405</Characters>
  <Application>Microsoft Office Word</Application>
  <DocSecurity>0</DocSecurity>
  <Lines>136</Lines>
  <Paragraphs>38</Paragraphs>
  <ScaleCrop>false</ScaleCrop>
  <Company> </Company>
  <LinksUpToDate>false</LinksUpToDate>
  <CharactersWithSpaces>19244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2016-08-08T02:43:00Z</dcterms:created>
  <dcterms:modified xsi:type="dcterms:W3CDTF">2016-08-08T02:43:00Z</dcterms:modified>
</cp:coreProperties>
</file>