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45C" w:rsidRDefault="00FE245C" w:rsidP="00FE245C">
      <w:pPr>
        <w:snapToGrid w:val="0"/>
        <w:spacing w:line="360" w:lineRule="auto"/>
        <w:ind w:firstLineChars="200" w:firstLine="420"/>
        <w:jc w:val="right"/>
        <w:rPr>
          <w:rFonts w:ascii="汉仪中黑简" w:eastAsia="汉仪中黑简"/>
          <w:color w:val="333333"/>
          <w:sz w:val="48"/>
          <w:szCs w:val="48"/>
        </w:rPr>
      </w:pPr>
      <w:r>
        <w:rPr>
          <w:noProof/>
        </w:rPr>
        <mc:AlternateContent>
          <mc:Choice Requires="wpg">
            <w:drawing>
              <wp:anchor distT="0" distB="0" distL="114300" distR="114300" simplePos="0" relativeHeight="251658240" behindDoc="0" locked="0" layoutInCell="1" allowOverlap="1">
                <wp:simplePos x="0" y="0"/>
                <wp:positionH relativeFrom="column">
                  <wp:posOffset>67945</wp:posOffset>
                </wp:positionH>
                <wp:positionV relativeFrom="paragraph">
                  <wp:posOffset>498475</wp:posOffset>
                </wp:positionV>
                <wp:extent cx="6088380" cy="1905"/>
                <wp:effectExtent l="29845" t="31750" r="34925" b="33020"/>
                <wp:wrapNone/>
                <wp:docPr id="8" name="组合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8380" cy="1905"/>
                          <a:chOff x="1134" y="1932"/>
                          <a:chExt cx="9639" cy="14"/>
                        </a:xfrm>
                      </wpg:grpSpPr>
                      <wps:wsp>
                        <wps:cNvPr id="9" name="Line 3"/>
                        <wps:cNvCnPr>
                          <a:cxnSpLocks noChangeShapeType="1"/>
                        </wps:cNvCnPr>
                        <wps:spPr bwMode="auto">
                          <a:xfrm flipV="1">
                            <a:off x="5812" y="1932"/>
                            <a:ext cx="4961" cy="8"/>
                          </a:xfrm>
                          <a:prstGeom prst="line">
                            <a:avLst/>
                          </a:prstGeom>
                          <a:noFill/>
                          <a:ln w="57150">
                            <a:solidFill>
                              <a:srgbClr val="969696"/>
                            </a:solidFill>
                            <a:round/>
                            <a:headEnd/>
                            <a:tailEnd/>
                          </a:ln>
                          <a:extLst>
                            <a:ext uri="{909E8E84-426E-40DD-AFC4-6F175D3DCCD1}">
                              <a14:hiddenFill xmlns:a14="http://schemas.microsoft.com/office/drawing/2010/main">
                                <a:noFill/>
                              </a14:hiddenFill>
                            </a:ext>
                          </a:extLst>
                        </wps:spPr>
                        <wps:bodyPr/>
                      </wps:wsp>
                      <wps:wsp>
                        <wps:cNvPr id="10" name="Line 4"/>
                        <wps:cNvCnPr>
                          <a:cxnSpLocks noChangeShapeType="1"/>
                        </wps:cNvCnPr>
                        <wps:spPr bwMode="auto">
                          <a:xfrm flipV="1">
                            <a:off x="1134" y="1939"/>
                            <a:ext cx="4669" cy="7"/>
                          </a:xfrm>
                          <a:prstGeom prst="line">
                            <a:avLst/>
                          </a:prstGeom>
                          <a:noFill/>
                          <a:ln w="57150">
                            <a:solidFill>
                              <a:srgbClr val="C0C0C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B03FFEE" id="组合 8" o:spid="_x0000_s1026" style="position:absolute;left:0;text-align:left;margin-left:5.35pt;margin-top:39.25pt;width:479.4pt;height:.15pt;z-index:251658240" coordorigin="1134,1932" coordsize="963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">
                <v:line id="Line 3" o:spid="_x0000_s1027" style="position:absolute;flip:y;visibility:visible;mso-wrap-style:square" from="5812,1932" to="10773,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vm8sMAAADaAAAADwAAAGRycy9kb3ducmV2LnhtbESP0WrCQBRE3wv+w3IFX6TZqFTa1FVE&#10;EcQ+iGk/4JK9zaZm78bsqvHvXUHo4zAzZ5jZorO1uFDrK8cKRkkKgrhwuuJSwc/35vUdhA/IGmvH&#10;pOBGHhbz3ssMM+2ufKBLHkoRIewzVGBCaDIpfWHIok9cQxy9X9daDFG2pdQtXiPc1nKcplNpseK4&#10;YLChlaHimJ+tguX+vMpxYv/c+vQmh19l3uzMTalBv1t+ggjUhf/ws73VCj7gcSXeAD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b5vLDAAAA2gAAAA8AAAAAAAAAAAAA&#10;AAAAoQIAAGRycy9kb3ducmV2LnhtbFBLBQYAAAAABAAEAPkAAACRAwAAAAA=&#10;" strokecolor="#969696" strokeweight="4.5pt"/>
                <v:line id="Line 4" o:spid="_x0000_s1028" style="position:absolute;flip:y;visibility:visible;mso-wrap-style:square" from="1134,1939" to="5803,1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MFuMUAAADbAAAADwAAAGRycy9kb3ducmV2LnhtbESPT2vCQBDF74V+h2UKvdVNQ1tMdBUR&#10;BAul9R+CtyE7JqHZ2ZDdmvjtnUPB2wzvzXu/mc4H16gLdaH2bOB1lIAiLrytuTRw2K9exqBCRLbY&#10;eCYDVwownz0+TDG3vuctXXaxVBLCIUcDVYxtrnUoKnIYRr4lFu3sO4dR1q7UtsNewl2j0yT50A5r&#10;loYKW1pWVPzu/pyBcMrSn9Mb2d5mX9lm+378/tykxjw/DYsJqEhDvJv/r9dW8IVefpEB9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MFuMUAAADbAAAADwAAAAAAAAAA&#10;AAAAAAChAgAAZHJzL2Rvd25yZXYueG1sUEsFBgAAAAAEAAQA+QAAAJMDAAAAAA==&#10;" strokecolor="silver" strokeweight="4.5pt"/>
              </v:group>
            </w:pict>
          </mc:Fallback>
        </mc:AlternateContent>
      </w:r>
      <w:r>
        <w:rPr>
          <w:rFonts w:ascii="汉仪中黑简" w:eastAsia="汉仪中黑简" w:hint="eastAsia"/>
          <w:color w:val="333333"/>
          <w:sz w:val="48"/>
          <w:szCs w:val="48"/>
        </w:rPr>
        <w:t>主要统计指标解释</w:t>
      </w:r>
    </w:p>
    <w:p w:rsidR="00FE245C" w:rsidRDefault="00FE245C" w:rsidP="00FE245C">
      <w:pPr>
        <w:spacing w:line="300" w:lineRule="auto"/>
        <w:ind w:firstLineChars="200" w:firstLine="360"/>
        <w:rPr>
          <w:rFonts w:eastAsia="汉仪书宋一简" w:hint="eastAsia"/>
          <w:sz w:val="18"/>
        </w:rPr>
      </w:pPr>
    </w:p>
    <w:p w:rsidR="00FE245C" w:rsidRDefault="00FE245C" w:rsidP="00FE245C">
      <w:pPr>
        <w:spacing w:line="300" w:lineRule="auto"/>
        <w:ind w:firstLineChars="200" w:firstLine="360"/>
        <w:rPr>
          <w:rFonts w:eastAsia="汉仪书宋一简"/>
          <w:sz w:val="18"/>
        </w:rPr>
      </w:pPr>
    </w:p>
    <w:p w:rsidR="00FE245C" w:rsidRDefault="00FE245C" w:rsidP="00FE245C">
      <w:pPr>
        <w:spacing w:line="300" w:lineRule="auto"/>
        <w:ind w:firstLineChars="200" w:firstLine="360"/>
        <w:rPr>
          <w:rFonts w:eastAsia="汉仪书宋一简"/>
          <w:sz w:val="18"/>
        </w:rPr>
      </w:pPr>
    </w:p>
    <w:p w:rsidR="00FE245C" w:rsidRDefault="00FE245C" w:rsidP="00FE245C">
      <w:pPr>
        <w:widowControl/>
        <w:spacing w:line="300" w:lineRule="auto"/>
        <w:jc w:val="left"/>
        <w:rPr>
          <w:rFonts w:eastAsia="汉仪书宋一简"/>
          <w:sz w:val="18"/>
        </w:rPr>
        <w:sectPr w:rsidR="00FE245C">
          <w:pgSz w:w="11906" w:h="16838"/>
          <w:pgMar w:top="1361" w:right="1134" w:bottom="1304" w:left="1134" w:header="624" w:footer="510" w:gutter="0"/>
          <w:paperSrc w:first="263" w:other="263"/>
          <w:pgNumType w:start="329"/>
          <w:cols w:space="720"/>
        </w:sectPr>
      </w:pPr>
    </w:p>
    <w:p w:rsidR="00FE245C" w:rsidRDefault="00FE245C" w:rsidP="00FE245C">
      <w:pPr>
        <w:spacing w:line="300" w:lineRule="auto"/>
        <w:ind w:firstLineChars="200" w:firstLine="360"/>
        <w:rPr>
          <w:rFonts w:ascii="汉仪书宋一简" w:eastAsia="汉仪书宋一简"/>
          <w:sz w:val="18"/>
        </w:rPr>
      </w:pPr>
      <w:r>
        <w:rPr>
          <w:rFonts w:ascii="汉仪中黑简" w:eastAsia="汉仪中黑简" w:hint="eastAsia"/>
          <w:sz w:val="18"/>
        </w:rPr>
        <w:t xml:space="preserve">全社会固定资产投资  </w:t>
      </w:r>
      <w:r>
        <w:rPr>
          <w:rFonts w:ascii="汉仪书宋一简" w:eastAsia="汉仪书宋一简" w:hint="eastAsia"/>
          <w:sz w:val="18"/>
        </w:rPr>
        <w:t>是以货币形式表现的在一定时期内全社会建造和购置固定资产的工作量以及与此有关费用的总称。该指标是反映固定资产投资规模、结构和发展速度的综合性指标。全社会固定资产投资按登记注册类型可分为国有、集体、联营、股份制、私营和个体、港澳台商、外商、其他等。</w:t>
      </w:r>
    </w:p>
    <w:p w:rsidR="00FE245C" w:rsidRDefault="00FE245C" w:rsidP="00FE245C">
      <w:pPr>
        <w:spacing w:line="300" w:lineRule="auto"/>
        <w:ind w:firstLineChars="200" w:firstLine="360"/>
        <w:rPr>
          <w:rFonts w:ascii="汉仪中黑简" w:eastAsia="汉仪中黑简" w:hint="eastAsia"/>
          <w:sz w:val="18"/>
        </w:rPr>
      </w:pPr>
      <w:r>
        <w:rPr>
          <w:rFonts w:ascii="汉仪中黑简" w:eastAsia="汉仪中黑简" w:hint="eastAsia"/>
          <w:sz w:val="18"/>
        </w:rPr>
        <w:t xml:space="preserve">固定资产投资（不含农户）  </w:t>
      </w:r>
      <w:r>
        <w:rPr>
          <w:rFonts w:ascii="汉仪书宋一简" w:eastAsia="汉仪书宋一简" w:hint="eastAsia"/>
          <w:sz w:val="18"/>
        </w:rPr>
        <w:t>指城镇和农村各种登记注册类型的企业、事业、行政单位及城镇个体户进行的计划总投资500万元及以上的建设项目投资和房地产开发投资，包括原口径的城镇固定资产投资加上农村企事业组织项目投资，该口径自2011年起开始使用。</w:t>
      </w:r>
    </w:p>
    <w:p w:rsidR="00FE245C" w:rsidRDefault="00FE245C" w:rsidP="00FE245C">
      <w:pPr>
        <w:spacing w:line="300" w:lineRule="auto"/>
        <w:ind w:firstLineChars="200" w:firstLine="360"/>
        <w:rPr>
          <w:rFonts w:ascii="汉仪书宋一简" w:eastAsia="汉仪书宋一简" w:hint="eastAsia"/>
          <w:sz w:val="18"/>
        </w:rPr>
      </w:pPr>
      <w:r>
        <w:rPr>
          <w:rFonts w:ascii="汉仪中黑简" w:eastAsia="汉仪中黑简" w:hint="eastAsia"/>
          <w:sz w:val="18"/>
        </w:rPr>
        <w:t xml:space="preserve">民间固定资产投资  </w:t>
      </w:r>
      <w:r>
        <w:rPr>
          <w:rFonts w:ascii="汉仪书宋一简" w:eastAsia="汉仪书宋一简" w:hint="eastAsia"/>
          <w:sz w:val="18"/>
        </w:rPr>
        <w:t>指具有集体、私营、个人性质的内资企事业单位以及由其控股（包括绝对控股和相对控股）的企业单位在中华人民共和国境内建造或购置固定资产的投资。</w:t>
      </w:r>
    </w:p>
    <w:p w:rsidR="00FE245C" w:rsidRDefault="00FE245C" w:rsidP="00FE245C">
      <w:pPr>
        <w:spacing w:line="300" w:lineRule="auto"/>
        <w:ind w:firstLineChars="200" w:firstLine="360"/>
        <w:rPr>
          <w:rFonts w:ascii="汉仪书宋一简" w:eastAsia="汉仪书宋一简" w:hint="eastAsia"/>
          <w:sz w:val="18"/>
        </w:rPr>
      </w:pPr>
      <w:r>
        <w:rPr>
          <w:rFonts w:ascii="汉仪中黑简" w:eastAsia="汉仪中黑简" w:hint="eastAsia"/>
          <w:sz w:val="18"/>
        </w:rPr>
        <w:t>基础设施投资</w:t>
      </w:r>
      <w:r>
        <w:rPr>
          <w:rFonts w:ascii="汉仪书宋一简" w:eastAsia="汉仪书宋一简" w:hint="eastAsia"/>
          <w:sz w:val="18"/>
        </w:rPr>
        <w:t xml:space="preserve">  指为社会生产和生活提供基础性、大众性服务的工程和设施，是社会赖以生存和发展的基本条件。包括以下行业投资：铁路运输业、道路运输业、水上运输业、航空运输业、管道运输业、多式联运和运输代理业、装卸搬运业、邮政业、电信广播电视和卫星传输服务业、互联网和相关服务业、水利管理业、生态保护和环境治理业、公共设施管理业。</w:t>
      </w:r>
    </w:p>
    <w:p w:rsidR="00FE245C" w:rsidRDefault="00FE245C" w:rsidP="00FE245C">
      <w:pPr>
        <w:spacing w:line="300" w:lineRule="auto"/>
        <w:ind w:firstLineChars="200" w:firstLine="360"/>
        <w:rPr>
          <w:rFonts w:ascii="汉仪书宋一简" w:eastAsia="汉仪书宋一简" w:hint="eastAsia"/>
          <w:sz w:val="18"/>
        </w:rPr>
      </w:pPr>
      <w:r>
        <w:rPr>
          <w:rFonts w:ascii="汉仪中黑简" w:eastAsia="汉仪中黑简" w:hint="eastAsia"/>
          <w:sz w:val="18"/>
        </w:rPr>
        <w:t>实际到位资金</w:t>
      </w:r>
      <w:r>
        <w:rPr>
          <w:rFonts w:ascii="汉仪书宋一简" w:eastAsia="汉仪书宋一简" w:hint="eastAsia"/>
          <w:sz w:val="18"/>
        </w:rPr>
        <w:t xml:space="preserve">  指用于固定资产投资的各种货币资金。包括国家预算资金、国内贷款、利用外资、自筹资金和其他资金。</w:t>
      </w:r>
    </w:p>
    <w:p w:rsidR="00FE245C" w:rsidRDefault="00FE245C" w:rsidP="00FE245C">
      <w:pPr>
        <w:spacing w:line="300" w:lineRule="auto"/>
        <w:ind w:firstLineChars="200" w:firstLine="360"/>
        <w:rPr>
          <w:rFonts w:ascii="汉仪书宋一简" w:eastAsia="汉仪书宋一简" w:hint="eastAsia"/>
          <w:sz w:val="18"/>
        </w:rPr>
      </w:pPr>
      <w:r>
        <w:rPr>
          <w:rFonts w:ascii="汉仪中黑简" w:eastAsia="汉仪中黑简" w:hint="eastAsia"/>
          <w:sz w:val="18"/>
        </w:rPr>
        <w:t xml:space="preserve">国家预算资金  </w:t>
      </w:r>
      <w:r>
        <w:rPr>
          <w:rFonts w:ascii="汉仪书宋一简" w:eastAsia="汉仪书宋一简" w:hint="eastAsia"/>
          <w:sz w:val="18"/>
        </w:rPr>
        <w:t>国家预算包括一般预算、政府性基金预算、国有资本经营预算和社保基金预算。各类预算中用于固定资产投资的资金全部作为国家预算资金填报，其中一般预算中用于固定资产投资的部分包括基建投资、车购税、灾后恢复重建基金和其他财政投资。各级政府债券也应归入国家预算资金。</w:t>
      </w:r>
    </w:p>
    <w:p w:rsidR="00FE245C" w:rsidRDefault="00FE245C" w:rsidP="00FE245C">
      <w:pPr>
        <w:spacing w:line="300" w:lineRule="auto"/>
        <w:ind w:firstLineChars="200" w:firstLine="360"/>
        <w:rPr>
          <w:rFonts w:ascii="汉仪书宋一简" w:eastAsia="汉仪书宋一简" w:hint="eastAsia"/>
          <w:sz w:val="18"/>
        </w:rPr>
      </w:pPr>
      <w:r>
        <w:rPr>
          <w:rFonts w:ascii="汉仪中黑简" w:eastAsia="汉仪中黑简" w:hint="eastAsia"/>
          <w:sz w:val="18"/>
        </w:rPr>
        <w:t xml:space="preserve">国内贷款  </w:t>
      </w:r>
      <w:r>
        <w:rPr>
          <w:rFonts w:ascii="汉仪书宋一简" w:eastAsia="汉仪书宋一简" w:hint="eastAsia"/>
          <w:sz w:val="18"/>
        </w:rPr>
        <w:t>指报告期固定资产投资项目单位向银行及非银行金融机构借入用于固定资产投资的各种国内借款，包括银行利用自有资金及吸收存款发放的贷款、上级拨入的国内贷款、国家专项贷款（包括煤代油贷款、劳改煤矿专项贷款等），地方财政专项资金安排的贷款、国内储备贷款、周转贷款等。</w:t>
      </w:r>
    </w:p>
    <w:p w:rsidR="00FE245C" w:rsidRDefault="00FE245C" w:rsidP="00FE245C">
      <w:pPr>
        <w:spacing w:line="300" w:lineRule="auto"/>
        <w:ind w:firstLineChars="200" w:firstLine="360"/>
        <w:rPr>
          <w:rFonts w:ascii="汉仪书宋一简" w:eastAsia="汉仪书宋一简" w:hint="eastAsia"/>
          <w:sz w:val="18"/>
        </w:rPr>
      </w:pPr>
      <w:r>
        <w:rPr>
          <w:rFonts w:ascii="汉仪中黑简" w:eastAsia="汉仪中黑简" w:hint="eastAsia"/>
          <w:sz w:val="18"/>
        </w:rPr>
        <w:t xml:space="preserve">利用外资  </w:t>
      </w:r>
      <w:r>
        <w:rPr>
          <w:rFonts w:ascii="汉仪书宋一简" w:eastAsia="汉仪书宋一简" w:hint="eastAsia"/>
          <w:sz w:val="18"/>
        </w:rPr>
        <w:t>指报告</w:t>
      </w:r>
      <w:proofErr w:type="gramStart"/>
      <w:r>
        <w:rPr>
          <w:rFonts w:ascii="汉仪书宋一简" w:eastAsia="汉仪书宋一简" w:hint="eastAsia"/>
          <w:sz w:val="18"/>
        </w:rPr>
        <w:t>期收到</w:t>
      </w:r>
      <w:proofErr w:type="gramEnd"/>
      <w:r>
        <w:rPr>
          <w:rFonts w:ascii="汉仪书宋一简" w:eastAsia="汉仪书宋一简" w:hint="eastAsia"/>
          <w:sz w:val="18"/>
        </w:rPr>
        <w:t>的境外（包括外国及港澳台地区）资金(包括设备、材料、技术在内)。包括对外借款(外国政府贷款、国际金融组织贷款、出口信贷、外国银行商业贷款、对外发行债券和股票)、外商直接投资、外商其他投资(包括利用外商投资收益在国内进行固定资产再投资活动的资金)。不包括我国自有外汇资金(国家外汇、地方外汇、留成外汇、</w:t>
      </w:r>
      <w:proofErr w:type="gramStart"/>
      <w:r>
        <w:rPr>
          <w:rFonts w:ascii="汉仪书宋一简" w:eastAsia="汉仪书宋一简" w:hint="eastAsia"/>
          <w:sz w:val="18"/>
        </w:rPr>
        <w:t>调济</w:t>
      </w:r>
      <w:proofErr w:type="gramEnd"/>
      <w:r>
        <w:rPr>
          <w:rFonts w:ascii="汉仪书宋一简" w:eastAsia="汉仪书宋一简" w:hint="eastAsia"/>
          <w:sz w:val="18"/>
        </w:rPr>
        <w:t>外汇和国内银行自有资金发放的外汇贷款等)。各类外资按报告期的外汇牌价（中间价）折成人民币计算。</w:t>
      </w:r>
    </w:p>
    <w:p w:rsidR="00FE245C" w:rsidRDefault="00FE245C" w:rsidP="00FE245C">
      <w:pPr>
        <w:spacing w:line="300" w:lineRule="auto"/>
        <w:ind w:firstLineChars="200" w:firstLine="360"/>
        <w:rPr>
          <w:rFonts w:ascii="汉仪书宋一简" w:eastAsia="汉仪书宋一简" w:hint="eastAsia"/>
          <w:sz w:val="18"/>
        </w:rPr>
      </w:pPr>
      <w:r>
        <w:rPr>
          <w:rFonts w:ascii="汉仪中黑简" w:eastAsia="汉仪中黑简" w:hint="eastAsia"/>
          <w:sz w:val="18"/>
        </w:rPr>
        <w:t xml:space="preserve">自筹资金  </w:t>
      </w:r>
      <w:r>
        <w:rPr>
          <w:rFonts w:ascii="汉仪书宋一简" w:eastAsia="汉仪书宋一简" w:hint="eastAsia"/>
          <w:sz w:val="18"/>
        </w:rPr>
        <w:t>指固定资产投资单位在报告</w:t>
      </w:r>
      <w:proofErr w:type="gramStart"/>
      <w:r>
        <w:rPr>
          <w:rFonts w:ascii="汉仪书宋一简" w:eastAsia="汉仪书宋一简" w:hint="eastAsia"/>
          <w:sz w:val="18"/>
        </w:rPr>
        <w:t>期收到</w:t>
      </w:r>
      <w:proofErr w:type="gramEnd"/>
      <w:r>
        <w:rPr>
          <w:rFonts w:ascii="汉仪书宋一简" w:eastAsia="汉仪书宋一简" w:hint="eastAsia"/>
          <w:sz w:val="18"/>
        </w:rPr>
        <w:t>的，由各企、事业单位筹集用于固定资产投资的资金，包括各类企事业单位的自有资金和从其他单位筹集的用于固定资产投资的资金，但不包括各</w:t>
      </w:r>
      <w:proofErr w:type="gramStart"/>
      <w:r>
        <w:rPr>
          <w:rFonts w:ascii="汉仪书宋一简" w:eastAsia="汉仪书宋一简" w:hint="eastAsia"/>
          <w:sz w:val="18"/>
        </w:rPr>
        <w:t>类财政</w:t>
      </w:r>
      <w:proofErr w:type="gramEnd"/>
      <w:r>
        <w:rPr>
          <w:rFonts w:ascii="汉仪书宋一简" w:eastAsia="汉仪书宋一简" w:hint="eastAsia"/>
          <w:sz w:val="18"/>
        </w:rPr>
        <w:t>性资金、从各类金融机构借入资金和国外资金。</w:t>
      </w:r>
    </w:p>
    <w:p w:rsidR="00FE245C" w:rsidRDefault="00FE245C" w:rsidP="00FE245C">
      <w:pPr>
        <w:spacing w:line="300" w:lineRule="auto"/>
        <w:ind w:firstLineChars="200" w:firstLine="360"/>
        <w:rPr>
          <w:rFonts w:ascii="汉仪书宋一简" w:eastAsia="汉仪书宋一简" w:hint="eastAsia"/>
          <w:sz w:val="18"/>
        </w:rPr>
      </w:pPr>
      <w:r>
        <w:rPr>
          <w:rFonts w:ascii="汉仪中黑简" w:eastAsia="汉仪中黑简" w:hint="eastAsia"/>
          <w:sz w:val="18"/>
        </w:rPr>
        <w:t xml:space="preserve">其他资金来源  </w:t>
      </w:r>
      <w:r>
        <w:rPr>
          <w:rFonts w:ascii="汉仪书宋一简" w:eastAsia="汉仪书宋一简" w:hint="eastAsia"/>
          <w:sz w:val="18"/>
        </w:rPr>
        <w:t>指在报告</w:t>
      </w:r>
      <w:proofErr w:type="gramStart"/>
      <w:r>
        <w:rPr>
          <w:rFonts w:ascii="汉仪书宋一简" w:eastAsia="汉仪书宋一简" w:hint="eastAsia"/>
          <w:sz w:val="18"/>
        </w:rPr>
        <w:t>期收到</w:t>
      </w:r>
      <w:proofErr w:type="gramEnd"/>
      <w:r>
        <w:rPr>
          <w:rFonts w:ascii="汉仪书宋一简" w:eastAsia="汉仪书宋一简" w:hint="eastAsia"/>
          <w:sz w:val="18"/>
        </w:rPr>
        <w:t>的除以上各种资金之外的用于固定资产投资的资金。包括社会集资、个人资金、无偿捐赠的资金及其他单位拨入的资金等。</w:t>
      </w:r>
    </w:p>
    <w:p w:rsidR="00FE245C" w:rsidRDefault="00FE245C" w:rsidP="00FE245C">
      <w:pPr>
        <w:spacing w:line="300" w:lineRule="auto"/>
        <w:ind w:firstLineChars="200" w:firstLine="360"/>
        <w:rPr>
          <w:rFonts w:ascii="汉仪书宋一简" w:eastAsia="汉仪书宋一简" w:hint="eastAsia"/>
          <w:sz w:val="18"/>
        </w:rPr>
      </w:pPr>
      <w:r>
        <w:rPr>
          <w:rFonts w:ascii="汉仪中黑简" w:eastAsia="汉仪中黑简" w:hint="eastAsia"/>
          <w:sz w:val="18"/>
        </w:rPr>
        <w:t xml:space="preserve">固定资产投资按国民经济行业分  </w:t>
      </w:r>
      <w:r>
        <w:rPr>
          <w:rFonts w:ascii="汉仪书宋一简" w:eastAsia="汉仪书宋一简" w:hint="eastAsia"/>
          <w:sz w:val="18"/>
        </w:rPr>
        <w:t>指根据其从事的社会经济活动性质对各类单位进行的分类。应根据建设项目建成投产后的主要产品种类或主要用途及社会经济活动种类来划分，不能根据项目单位本身的行业类别来划分。如果项目投产后有几种产品，应根据主要产品来确定行业类别。一般情况下，一个建设项目只能属于一种国民经济行业。</w:t>
      </w:r>
    </w:p>
    <w:p w:rsidR="00FE245C" w:rsidRDefault="00FE245C" w:rsidP="00FE245C">
      <w:pPr>
        <w:spacing w:line="300" w:lineRule="auto"/>
        <w:ind w:firstLineChars="200" w:firstLine="360"/>
        <w:rPr>
          <w:rFonts w:ascii="汉仪书宋一简" w:eastAsia="汉仪书宋一简" w:hint="eastAsia"/>
          <w:sz w:val="18"/>
        </w:rPr>
      </w:pPr>
      <w:r>
        <w:rPr>
          <w:rFonts w:ascii="汉仪中黑简" w:eastAsia="汉仪中黑简" w:hint="eastAsia"/>
          <w:sz w:val="18"/>
        </w:rPr>
        <w:t xml:space="preserve">固定资产投资按建设性质分  </w:t>
      </w:r>
      <w:r>
        <w:rPr>
          <w:rFonts w:ascii="汉仪书宋一简" w:eastAsia="汉仪书宋一简" w:hint="eastAsia"/>
          <w:sz w:val="18"/>
        </w:rPr>
        <w:t>按整个建设项目情况来确定。建设项目的性质一般分为新建、扩建、改建和技术改造、单</w:t>
      </w:r>
      <w:r>
        <w:rPr>
          <w:rFonts w:ascii="汉仪书宋一简" w:eastAsia="汉仪书宋一简" w:hint="eastAsia"/>
          <w:sz w:val="18"/>
        </w:rPr>
        <w:lastRenderedPageBreak/>
        <w:t>纯建造生活设施、迁建、恢复、单纯购置。农户投资不划分建设性质。</w:t>
      </w:r>
    </w:p>
    <w:p w:rsidR="00FE245C" w:rsidRDefault="00FE245C" w:rsidP="00FE245C">
      <w:pPr>
        <w:spacing w:line="300" w:lineRule="auto"/>
        <w:ind w:firstLineChars="200" w:firstLine="360"/>
        <w:rPr>
          <w:rFonts w:ascii="汉仪书宋一简" w:eastAsia="汉仪书宋一简" w:hint="eastAsia"/>
          <w:sz w:val="18"/>
        </w:rPr>
      </w:pPr>
      <w:r>
        <w:rPr>
          <w:rFonts w:ascii="汉仪书宋一简" w:eastAsia="汉仪书宋一简" w:hint="eastAsia"/>
          <w:sz w:val="18"/>
        </w:rPr>
        <w:t>（1）新建  指从无到有“平地起家”开始建设的项目。现有企业、事业、行政单位投资的项目一般不属于新建。但如有的单位原有基础很小，经过建设后新增的固定资产价值超过该企业、事业、行政单位原有固定资产价值（原值）三倍以上的，也应作为新建。</w:t>
      </w:r>
    </w:p>
    <w:p w:rsidR="00FE245C" w:rsidRDefault="00FE245C" w:rsidP="00FE245C">
      <w:pPr>
        <w:spacing w:line="300" w:lineRule="auto"/>
        <w:ind w:firstLineChars="200" w:firstLine="360"/>
        <w:rPr>
          <w:rFonts w:ascii="汉仪书宋一简" w:eastAsia="汉仪书宋一简" w:hint="eastAsia"/>
          <w:sz w:val="18"/>
        </w:rPr>
      </w:pPr>
      <w:r>
        <w:rPr>
          <w:rFonts w:ascii="汉仪书宋一简" w:eastAsia="汉仪书宋一简" w:hint="eastAsia"/>
          <w:sz w:val="18"/>
        </w:rPr>
        <w:t>（2）扩建  指在厂内或其他地点，为扩大原有产品的生产能力（或效益）或增加新的产品生产能力，而增建的生产车间（或主要工程）、分厂、独立的生产线等项目。行政、事业单位在原单位增建业务性用房（如学校增建教学用房、医院增建门诊部、病房等）也作为扩建。</w:t>
      </w:r>
    </w:p>
    <w:p w:rsidR="00FE245C" w:rsidRDefault="00FE245C" w:rsidP="00FE245C">
      <w:pPr>
        <w:spacing w:line="300" w:lineRule="auto"/>
        <w:ind w:firstLineChars="200" w:firstLine="360"/>
        <w:rPr>
          <w:rFonts w:ascii="汉仪书宋一简" w:eastAsia="汉仪书宋一简" w:hint="eastAsia"/>
          <w:sz w:val="18"/>
        </w:rPr>
      </w:pPr>
      <w:r>
        <w:rPr>
          <w:rFonts w:ascii="汉仪书宋一简" w:eastAsia="汉仪书宋一简" w:hint="eastAsia"/>
          <w:sz w:val="18"/>
        </w:rPr>
        <w:t>现有企、事业单位为扩大原有主要产品生产能力或增加新的产品生产能力，增建一个或几个主要生产车间（或主要工程）、分厂，同时进行一些更新改造工程的，也应作为扩建。</w:t>
      </w:r>
    </w:p>
    <w:p w:rsidR="00FE245C" w:rsidRDefault="00FE245C" w:rsidP="00FE245C">
      <w:pPr>
        <w:spacing w:line="300" w:lineRule="auto"/>
        <w:ind w:firstLineChars="200" w:firstLine="360"/>
        <w:rPr>
          <w:rFonts w:ascii="汉仪书宋一简" w:eastAsia="汉仪书宋一简" w:hint="eastAsia"/>
          <w:sz w:val="18"/>
        </w:rPr>
      </w:pPr>
      <w:r>
        <w:rPr>
          <w:rFonts w:ascii="汉仪书宋一简" w:eastAsia="汉仪书宋一简" w:hint="eastAsia"/>
          <w:sz w:val="18"/>
        </w:rPr>
        <w:t>（3）改建和技术改造  指现有企业、事业单位对原有设施进行技术改造或更新（包括相应配套的辅助性生产、生活福利设施）的建设项目。改建项目包括企业、事业单位为适应市场变化的需要，而改变企业的主要产品种类（如军工企业转民用产品等）的建设项目；原有产品生产作业线由于各工序（车间）</w:t>
      </w:r>
      <w:proofErr w:type="gramStart"/>
      <w:r>
        <w:rPr>
          <w:rFonts w:ascii="汉仪书宋一简" w:eastAsia="汉仪书宋一简" w:hint="eastAsia"/>
          <w:sz w:val="18"/>
        </w:rPr>
        <w:t>之间能力</w:t>
      </w:r>
      <w:proofErr w:type="gramEnd"/>
      <w:r>
        <w:rPr>
          <w:rFonts w:ascii="汉仪书宋一简" w:eastAsia="汉仪书宋一简" w:hint="eastAsia"/>
          <w:sz w:val="18"/>
        </w:rPr>
        <w:t>不平衡，为填平补齐充分发挥原有生产能力而</w:t>
      </w:r>
      <w:proofErr w:type="gramStart"/>
      <w:r>
        <w:rPr>
          <w:rFonts w:ascii="汉仪书宋一简" w:eastAsia="汉仪书宋一简" w:hint="eastAsia"/>
          <w:sz w:val="18"/>
        </w:rPr>
        <w:t>增建但</w:t>
      </w:r>
      <w:proofErr w:type="gramEnd"/>
      <w:r>
        <w:rPr>
          <w:rFonts w:ascii="汉仪书宋一简" w:eastAsia="汉仪书宋一简" w:hint="eastAsia"/>
          <w:sz w:val="18"/>
        </w:rPr>
        <w:t>不增加主要产品生产能力的建设项目。技术改造是指企业、事业单位在现有基础上用先进的技术代替落后的技术，用先进的工艺和装备代替落后的工艺和装备，以改变企业落后的技术经济面貌，实现以内涵为主的扩大再生产，达到提高产品质量、促进产品更新换代、节约能源、降低消耗、扩大生产规模、全面提高社会</w:t>
      </w:r>
      <w:proofErr w:type="gramStart"/>
      <w:r>
        <w:rPr>
          <w:rFonts w:ascii="汉仪书宋一简" w:eastAsia="汉仪书宋一简" w:hint="eastAsia"/>
          <w:sz w:val="18"/>
        </w:rPr>
        <w:t>经效益</w:t>
      </w:r>
      <w:proofErr w:type="gramEnd"/>
      <w:r>
        <w:rPr>
          <w:rFonts w:ascii="汉仪书宋一简" w:eastAsia="汉仪书宋一简" w:hint="eastAsia"/>
          <w:sz w:val="18"/>
        </w:rPr>
        <w:t>的目的。技术改造具体包括以下内容：机器设备和工具的更新改造；生产工艺改革、节约能源和原材料的改造；厂房建筑和公共设施的改造；保护环境进行的“三废”治理改造；劳动条件和生产环境的改造等。</w:t>
      </w:r>
    </w:p>
    <w:p w:rsidR="00FE245C" w:rsidRDefault="00FE245C" w:rsidP="00FE245C">
      <w:pPr>
        <w:spacing w:line="300" w:lineRule="auto"/>
        <w:ind w:firstLineChars="200" w:firstLine="360"/>
        <w:rPr>
          <w:rFonts w:ascii="汉仪中黑简" w:eastAsia="汉仪中黑简" w:hint="eastAsia"/>
          <w:sz w:val="18"/>
        </w:rPr>
      </w:pPr>
      <w:r>
        <w:rPr>
          <w:rFonts w:ascii="汉仪中黑简" w:eastAsia="汉仪中黑简" w:hint="eastAsia"/>
          <w:sz w:val="18"/>
        </w:rPr>
        <w:t>固定资产投资按构成分</w:t>
      </w:r>
    </w:p>
    <w:p w:rsidR="00FE245C" w:rsidRDefault="00FE245C" w:rsidP="00FE245C">
      <w:pPr>
        <w:spacing w:line="300" w:lineRule="auto"/>
        <w:ind w:firstLineChars="200" w:firstLine="360"/>
        <w:rPr>
          <w:rFonts w:ascii="汉仪书宋一简" w:eastAsia="汉仪书宋一简" w:hint="eastAsia"/>
          <w:sz w:val="18"/>
        </w:rPr>
      </w:pPr>
      <w:r>
        <w:rPr>
          <w:rFonts w:ascii="汉仪书宋一简" w:eastAsia="汉仪书宋一简" w:hint="eastAsia"/>
          <w:sz w:val="18"/>
        </w:rPr>
        <w:t>（1）建筑工程  指各种房屋、建筑物的建造工程。这部分投资额必须兴工动料，通过施工活动才能实现，是固定资产投资额的重要组成部分。</w:t>
      </w:r>
    </w:p>
    <w:p w:rsidR="00FE245C" w:rsidRDefault="00FE245C" w:rsidP="00FE245C">
      <w:pPr>
        <w:spacing w:line="300" w:lineRule="auto"/>
        <w:ind w:firstLineChars="200" w:firstLine="360"/>
        <w:rPr>
          <w:rFonts w:ascii="汉仪书宋一简" w:eastAsia="汉仪书宋一简" w:hint="eastAsia"/>
          <w:sz w:val="18"/>
        </w:rPr>
      </w:pPr>
      <w:r>
        <w:rPr>
          <w:rFonts w:ascii="汉仪书宋一简" w:eastAsia="汉仪书宋一简" w:hint="eastAsia"/>
          <w:sz w:val="18"/>
        </w:rPr>
        <w:t>（2）安装工程  指各种设备、装置的安装工程。</w:t>
      </w:r>
    </w:p>
    <w:p w:rsidR="00FE245C" w:rsidRDefault="00FE245C" w:rsidP="00FE245C">
      <w:pPr>
        <w:spacing w:line="300" w:lineRule="auto"/>
        <w:ind w:firstLineChars="200" w:firstLine="360"/>
        <w:rPr>
          <w:rFonts w:ascii="汉仪书宋一简" w:eastAsia="汉仪书宋一简" w:hint="eastAsia"/>
          <w:sz w:val="18"/>
        </w:rPr>
      </w:pPr>
      <w:r>
        <w:rPr>
          <w:rFonts w:ascii="汉仪书宋一简" w:eastAsia="汉仪书宋一简" w:hint="eastAsia"/>
          <w:sz w:val="18"/>
        </w:rPr>
        <w:t>在安装工程中，不包括被安装设备本身价值。</w:t>
      </w:r>
    </w:p>
    <w:p w:rsidR="00FE245C" w:rsidRDefault="00FE245C" w:rsidP="00FE245C">
      <w:pPr>
        <w:spacing w:line="300" w:lineRule="auto"/>
        <w:ind w:firstLineChars="200" w:firstLine="360"/>
        <w:rPr>
          <w:rFonts w:ascii="汉仪书宋一简" w:eastAsia="汉仪书宋一简" w:hint="eastAsia"/>
          <w:sz w:val="18"/>
        </w:rPr>
      </w:pPr>
      <w:r>
        <w:rPr>
          <w:rFonts w:ascii="汉仪书宋一简" w:eastAsia="汉仪书宋一简" w:hint="eastAsia"/>
          <w:sz w:val="18"/>
        </w:rPr>
        <w:t>（3）</w:t>
      </w:r>
      <w:proofErr w:type="gramStart"/>
      <w:r>
        <w:rPr>
          <w:rFonts w:ascii="汉仪书宋一简" w:eastAsia="汉仪书宋一简" w:hint="eastAsia"/>
          <w:sz w:val="18"/>
        </w:rPr>
        <w:t>设备工</w:t>
      </w:r>
      <w:proofErr w:type="gramEnd"/>
      <w:r>
        <w:rPr>
          <w:rFonts w:ascii="汉仪书宋一简" w:eastAsia="汉仪书宋一简" w:hint="eastAsia"/>
          <w:sz w:val="18"/>
        </w:rPr>
        <w:t>器具购置  指报告期内购置或自制的，达到固定资产标准的设备、工具、器具的价值。新建单位及扩建单位的新建车间，按照设计或计划要求购置或自制的全部设备、工具、器具，不论是否达到固定资产标准均计入“设备工器具购置”中。</w:t>
      </w:r>
    </w:p>
    <w:p w:rsidR="00FE245C" w:rsidRDefault="00FE245C" w:rsidP="00FE245C">
      <w:pPr>
        <w:spacing w:line="300" w:lineRule="auto"/>
        <w:ind w:firstLineChars="200" w:firstLine="360"/>
        <w:rPr>
          <w:rFonts w:ascii="汉仪书宋一简" w:eastAsia="汉仪书宋一简" w:hint="eastAsia"/>
          <w:sz w:val="18"/>
        </w:rPr>
      </w:pPr>
      <w:r>
        <w:rPr>
          <w:rFonts w:ascii="汉仪书宋一简" w:eastAsia="汉仪书宋一简" w:hint="eastAsia"/>
          <w:sz w:val="18"/>
        </w:rPr>
        <w:t>（4）其他费用  指在固定资产建造和购置过程中发生的，除建筑安装工程和设备、工器具购置投资完成额以外的应当分摊计入固定资产投资的费用，不指经营中财务上的其他费用。</w:t>
      </w:r>
    </w:p>
    <w:p w:rsidR="00FE245C" w:rsidRDefault="00FE245C" w:rsidP="00FE245C">
      <w:pPr>
        <w:widowControl/>
        <w:jc w:val="left"/>
        <w:rPr>
          <w:lang w:val="en-GB"/>
        </w:rPr>
        <w:sectPr w:rsidR="00FE245C">
          <w:type w:val="continuous"/>
          <w:pgSz w:w="11906" w:h="16838"/>
          <w:pgMar w:top="1361" w:right="1134" w:bottom="1304" w:left="1134" w:header="624" w:footer="510" w:gutter="0"/>
          <w:paperSrc w:first="263" w:other="263"/>
          <w:cols w:space="720"/>
        </w:sectPr>
      </w:pPr>
    </w:p>
    <w:p w:rsidR="00FE245C" w:rsidRDefault="00FE245C" w:rsidP="00FE245C">
      <w:pPr>
        <w:snapToGrid w:val="0"/>
        <w:ind w:right="8"/>
        <w:jc w:val="right"/>
        <w:rPr>
          <w:rFonts w:hint="eastAsia"/>
          <w:b/>
          <w:sz w:val="30"/>
          <w:szCs w:val="30"/>
        </w:rPr>
      </w:pPr>
      <w:r>
        <w:rPr>
          <w:b/>
          <w:sz w:val="30"/>
          <w:szCs w:val="30"/>
        </w:rPr>
        <w:br w:type="page"/>
      </w:r>
      <w:r>
        <w:rPr>
          <w:b/>
          <w:sz w:val="30"/>
          <w:szCs w:val="30"/>
        </w:rPr>
        <w:lastRenderedPageBreak/>
        <w:t>Explanatory Notes on Main Statistical Indicators</w:t>
      </w:r>
    </w:p>
    <w:p w:rsidR="00FE245C" w:rsidRDefault="00FE245C" w:rsidP="00FE24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jc w:val="right"/>
        <w:rPr>
          <w:rFonts w:ascii="汉仪中黑简" w:eastAsia="汉仪中黑简" w:cs="汉仪中黑简"/>
          <w:kern w:val="0"/>
          <w:sz w:val="18"/>
          <w:szCs w:val="18"/>
        </w:rPr>
      </w:pPr>
      <w:r>
        <w:rPr>
          <w:noProof/>
        </w:rPr>
        <mc:AlternateContent>
          <mc:Choice Requires="wpg">
            <w:drawing>
              <wp:anchor distT="0" distB="0" distL="114300" distR="114300" simplePos="0" relativeHeight="251658240" behindDoc="0" locked="0" layoutInCell="1" allowOverlap="1">
                <wp:simplePos x="0" y="0"/>
                <wp:positionH relativeFrom="column">
                  <wp:posOffset>26670</wp:posOffset>
                </wp:positionH>
                <wp:positionV relativeFrom="paragraph">
                  <wp:posOffset>80010</wp:posOffset>
                </wp:positionV>
                <wp:extent cx="6088380" cy="1905"/>
                <wp:effectExtent l="36195" t="32385" r="28575" b="32385"/>
                <wp:wrapNone/>
                <wp:docPr id="3"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8380" cy="1905"/>
                          <a:chOff x="1134" y="1932"/>
                          <a:chExt cx="9639" cy="14"/>
                        </a:xfrm>
                      </wpg:grpSpPr>
                      <wps:wsp>
                        <wps:cNvPr id="4" name="Line 7"/>
                        <wps:cNvCnPr>
                          <a:cxnSpLocks noChangeShapeType="1"/>
                        </wps:cNvCnPr>
                        <wps:spPr bwMode="auto">
                          <a:xfrm flipV="1">
                            <a:off x="5812" y="1932"/>
                            <a:ext cx="4961" cy="8"/>
                          </a:xfrm>
                          <a:prstGeom prst="line">
                            <a:avLst/>
                          </a:prstGeom>
                          <a:noFill/>
                          <a:ln w="57150">
                            <a:solidFill>
                              <a:srgbClr val="969696"/>
                            </a:solidFill>
                            <a:round/>
                            <a:headEnd/>
                            <a:tailEnd/>
                          </a:ln>
                          <a:extLst>
                            <a:ext uri="{909E8E84-426E-40DD-AFC4-6F175D3DCCD1}">
                              <a14:hiddenFill xmlns:a14="http://schemas.microsoft.com/office/drawing/2010/main">
                                <a:noFill/>
                              </a14:hiddenFill>
                            </a:ext>
                          </a:extLst>
                        </wps:spPr>
                        <wps:bodyPr/>
                      </wps:wsp>
                      <wps:wsp>
                        <wps:cNvPr id="5" name="Line 8"/>
                        <wps:cNvCnPr>
                          <a:cxnSpLocks noChangeShapeType="1"/>
                        </wps:cNvCnPr>
                        <wps:spPr bwMode="auto">
                          <a:xfrm flipV="1">
                            <a:off x="1134" y="1939"/>
                            <a:ext cx="4669" cy="7"/>
                          </a:xfrm>
                          <a:prstGeom prst="line">
                            <a:avLst/>
                          </a:prstGeom>
                          <a:noFill/>
                          <a:ln w="57150">
                            <a:solidFill>
                              <a:srgbClr val="C0C0C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69BEB41" id="组合 3" o:spid="_x0000_s1026" style="position:absolute;left:0;text-align:left;margin-left:2.1pt;margin-top:6.3pt;width:479.4pt;height:.15pt;z-index:251658240" coordorigin="1134,1932" coordsize="963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">
                <v:line id="Line 7" o:spid="_x0000_s1027" style="position:absolute;flip:y;visibility:visible;mso-wrap-style:square" from="5812,1932" to="10773,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pJbMMAAADaAAAADwAAAGRycy9kb3ducmV2LnhtbESP0WrCQBRE3wv+w3IFX6TZqLWU1FVE&#10;EcQ+iGk/4JK9zaZm78bsqvHvXUHo4zAzZ5jZorO1uFDrK8cKRkkKgrhwuuJSwc/35vUDhA/IGmvH&#10;pOBGHhbz3ssMM+2ufKBLHkoRIewzVGBCaDIpfWHIok9cQxy9X9daDFG2pdQtXiPc1nKcpu/SYsVx&#10;wWBDK0PFMT9bBcv9eZXjxP659Wkqh19l3uzMTalBv1t+ggjUhf/ws73VCt7gcSXeAD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aSWzDAAAA2gAAAA8AAAAAAAAAAAAA&#10;AAAAoQIAAGRycy9kb3ducmV2LnhtbFBLBQYAAAAABAAEAPkAAACRAwAAAAA=&#10;" strokecolor="#969696" strokeweight="4.5pt"/>
                <v:line id="Line 8" o:spid="_x0000_s1028" style="position:absolute;flip:y;visibility:visible;mso-wrap-style:square" from="1134,1939" to="5803,1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gsiMQAAADaAAAADwAAAGRycy9kb3ducmV2LnhtbESP3WrCQBSE7wu+w3IE7+qmQcVEN0GE&#10;QoXS+lMK3h2yxyQ0ezZkV5O+fbcgeDnMzDfMOh9MI27UudqygpdpBIK4sLrmUsHX6fV5CcJ5ZI2N&#10;ZVLwSw7ybPS0xlTbng90O/pSBAi7FBVU3replK6oyKCb2pY4eBfbGfRBdqXUHfYBbhoZR9FCGqw5&#10;LFTY0rai4ud4NQrcOYk/zzPSvU7ek/1h/v2x28dKTcbDZgXC0+Af4Xv7TSuYw/+VcAN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yCyIxAAAANoAAAAPAAAAAAAAAAAA&#10;AAAAAKECAABkcnMvZG93bnJldi54bWxQSwUGAAAAAAQABAD5AAAAkgMAAAAA&#10;" strokecolor="silver" strokeweight="4.5pt"/>
              </v:group>
            </w:pict>
          </mc:Fallback>
        </mc:AlternateContent>
      </w:r>
    </w:p>
    <w:p w:rsidR="00FE245C" w:rsidRDefault="00FE245C" w:rsidP="00FE24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ind w:firstLineChars="200" w:firstLine="360"/>
        <w:jc w:val="right"/>
        <w:rPr>
          <w:rFonts w:ascii="汉仪中黑简" w:eastAsia="汉仪中黑简" w:cs="汉仪中黑简" w:hint="eastAsia"/>
          <w:kern w:val="0"/>
          <w:sz w:val="18"/>
          <w:szCs w:val="18"/>
        </w:rPr>
      </w:pPr>
    </w:p>
    <w:p w:rsidR="00FE245C" w:rsidRDefault="00FE245C" w:rsidP="00FE24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ind w:firstLineChars="200" w:firstLine="360"/>
        <w:jc w:val="right"/>
        <w:rPr>
          <w:rFonts w:ascii="汉仪中黑简" w:eastAsia="汉仪中黑简" w:cs="汉仪中黑简" w:hint="eastAsia"/>
          <w:kern w:val="0"/>
          <w:sz w:val="18"/>
          <w:szCs w:val="18"/>
        </w:rPr>
      </w:pPr>
    </w:p>
    <w:p w:rsidR="00FE245C" w:rsidRDefault="00FE245C" w:rsidP="00FE245C">
      <w:pPr>
        <w:widowControl/>
        <w:jc w:val="left"/>
        <w:rPr>
          <w:b/>
          <w:bCs/>
          <w:kern w:val="0"/>
          <w:sz w:val="18"/>
          <w:szCs w:val="18"/>
        </w:rPr>
        <w:sectPr w:rsidR="00FE245C">
          <w:type w:val="continuous"/>
          <w:pgSz w:w="11906" w:h="16838"/>
          <w:pgMar w:top="1361" w:right="1134" w:bottom="1304" w:left="1134" w:header="624" w:footer="510" w:gutter="0"/>
          <w:paperSrc w:first="15" w:other="15"/>
          <w:cols w:space="720"/>
        </w:sectPr>
      </w:pPr>
    </w:p>
    <w:p w:rsidR="00FE245C" w:rsidRDefault="00FE245C" w:rsidP="00FE245C">
      <w:pPr>
        <w:pStyle w:val="a3"/>
        <w:snapToGrid w:val="0"/>
        <w:spacing w:line="300" w:lineRule="auto"/>
        <w:ind w:firstLineChars="200" w:firstLine="361"/>
        <w:rPr>
          <w:rFonts w:hint="eastAsia"/>
          <w:color w:val="auto"/>
        </w:rPr>
      </w:pPr>
      <w:r>
        <w:rPr>
          <w:b/>
          <w:bCs/>
          <w:color w:val="auto"/>
        </w:rPr>
        <w:lastRenderedPageBreak/>
        <w:t>Total Investment in Fixed Assets in the Whole Country</w:t>
      </w:r>
      <w:r>
        <w:rPr>
          <w:color w:val="auto"/>
        </w:rPr>
        <w:t xml:space="preserve">   refers to the volume of activities in construction and purchases of fixed assets of the whole country and related fees, expressed in monetary terms during the reference period. It is a comprehensive indicator which shows the size, structure and growth of the investment in fixed assets, providing a basis for observing the progress of construction projects and evaluating results of investment. Total investment in fixed assets in the whole country includes, by type of ownership, the investment by State-owned units, collective-owned units, joint ownership units, share-holding units, private units, individuals as well as investments by entrepreneurs from </w:t>
      </w:r>
      <w:smartTag w:uri="urn:schemas-microsoft-com:office:smarttags" w:element="City">
        <w:r>
          <w:rPr>
            <w:color w:val="auto"/>
          </w:rPr>
          <w:t>Hong Kong</w:t>
        </w:r>
      </w:smartTag>
      <w:r>
        <w:rPr>
          <w:color w:val="auto"/>
        </w:rPr>
        <w:t xml:space="preserve">, </w:t>
      </w:r>
      <w:smartTag w:uri="urn:schemas-microsoft-com:office:smarttags" w:element="State">
        <w:r>
          <w:rPr>
            <w:color w:val="auto"/>
          </w:rPr>
          <w:t>Macao</w:t>
        </w:r>
      </w:smartTag>
      <w:r>
        <w:rPr>
          <w:color w:val="auto"/>
        </w:rPr>
        <w:t xml:space="preserve"> and </w:t>
      </w:r>
      <w:smartTag w:uri="urn:schemas-microsoft-com:office:smarttags" w:element="place">
        <w:smartTag w:uri="urn:schemas-microsoft-com:office:smarttags" w:element="country-region">
          <w:r>
            <w:rPr>
              <w:color w:val="auto"/>
            </w:rPr>
            <w:t>Taiwan</w:t>
          </w:r>
        </w:smartTag>
      </w:smartTag>
      <w:r>
        <w:rPr>
          <w:color w:val="auto"/>
        </w:rPr>
        <w:t xml:space="preserve">, foreign investors and others. </w:t>
      </w:r>
    </w:p>
    <w:p w:rsidR="00FE245C" w:rsidRDefault="00FE245C" w:rsidP="00FE245C">
      <w:pPr>
        <w:pStyle w:val="a3"/>
        <w:snapToGrid w:val="0"/>
        <w:spacing w:line="300" w:lineRule="auto"/>
        <w:ind w:firstLineChars="200" w:firstLine="361"/>
        <w:rPr>
          <w:color w:val="auto"/>
        </w:rPr>
      </w:pPr>
      <w:r>
        <w:rPr>
          <w:b/>
          <w:color w:val="auto"/>
        </w:rPr>
        <w:t xml:space="preserve">Investment in Fixed Assets (Excluding Rural Households) </w:t>
      </w:r>
      <w:r>
        <w:rPr>
          <w:color w:val="auto"/>
        </w:rPr>
        <w:t xml:space="preserve">refers to the investment in construction projects with a total planned investment of 5 million yuan and over by enterprises of various ownerships, institutions, administrative units and urban self-employed individuals, and the investment in real estate development in both urban and rural areas. Since 2011, it covers the urban investment in fixed assets under the previous statistical coverage plus project investments by rural enterprises and institutions. </w:t>
      </w:r>
    </w:p>
    <w:p w:rsidR="00FE245C" w:rsidRDefault="00FE245C" w:rsidP="00FE245C">
      <w:pPr>
        <w:pStyle w:val="a3"/>
        <w:snapToGrid w:val="0"/>
        <w:spacing w:line="300" w:lineRule="auto"/>
        <w:ind w:firstLineChars="200" w:firstLine="361"/>
        <w:rPr>
          <w:color w:val="auto"/>
        </w:rPr>
      </w:pPr>
      <w:r>
        <w:rPr>
          <w:b/>
          <w:color w:val="auto"/>
        </w:rPr>
        <w:t xml:space="preserve">Non-governmental Investment in Fixed </w:t>
      </w:r>
      <w:proofErr w:type="gramStart"/>
      <w:r>
        <w:rPr>
          <w:b/>
          <w:color w:val="auto"/>
        </w:rPr>
        <w:t xml:space="preserve">Assets  </w:t>
      </w:r>
      <w:r>
        <w:rPr>
          <w:color w:val="auto"/>
        </w:rPr>
        <w:t>refers</w:t>
      </w:r>
      <w:proofErr w:type="gramEnd"/>
      <w:r>
        <w:rPr>
          <w:color w:val="auto"/>
        </w:rPr>
        <w:t xml:space="preserve"> to the investment in the construction or purchase of fixed assets in the territory of the People's Republic of </w:t>
      </w:r>
      <w:smartTag w:uri="urn:schemas-microsoft-com:office:smarttags" w:element="place">
        <w:smartTag w:uri="urn:schemas-microsoft-com:office:smarttags" w:element="country-region">
          <w:r>
            <w:rPr>
              <w:color w:val="auto"/>
            </w:rPr>
            <w:t>China</w:t>
          </w:r>
        </w:smartTag>
      </w:smartTag>
      <w:r>
        <w:rPr>
          <w:color w:val="auto"/>
        </w:rPr>
        <w:t xml:space="preserve"> by domestic-funded enterprises and institutions with collective, private and personal nature and by enterprises and institutions controlled by them (including absolute and relative holding).</w:t>
      </w:r>
    </w:p>
    <w:p w:rsidR="00FE245C" w:rsidRDefault="00FE245C" w:rsidP="00FE245C">
      <w:pPr>
        <w:pStyle w:val="a3"/>
        <w:snapToGrid w:val="0"/>
        <w:spacing w:line="300" w:lineRule="auto"/>
        <w:ind w:firstLineChars="200" w:firstLine="361"/>
        <w:rPr>
          <w:color w:val="auto"/>
        </w:rPr>
      </w:pPr>
      <w:r>
        <w:rPr>
          <w:b/>
          <w:color w:val="auto"/>
        </w:rPr>
        <w:t xml:space="preserve">Infrastructure </w:t>
      </w:r>
      <w:proofErr w:type="gramStart"/>
      <w:r>
        <w:rPr>
          <w:b/>
          <w:color w:val="auto"/>
        </w:rPr>
        <w:t>Investment</w:t>
      </w:r>
      <w:r>
        <w:rPr>
          <w:color w:val="auto"/>
        </w:rPr>
        <w:t xml:space="preserve">  refers</w:t>
      </w:r>
      <w:proofErr w:type="gramEnd"/>
      <w:r>
        <w:rPr>
          <w:color w:val="auto"/>
        </w:rPr>
        <w:t xml:space="preserve"> to projects and facilities that provide basic and popular services for social production and life. It is the basic condition for the survival and development of society. It includes: railway transport, road transport, water transport, air transport, pipeline transport, multimodal transport and transport agent </w:t>
      </w:r>
      <w:proofErr w:type="spellStart"/>
      <w:r>
        <w:rPr>
          <w:color w:val="auto"/>
        </w:rPr>
        <w:t>Intermodality</w:t>
      </w:r>
      <w:proofErr w:type="spellEnd"/>
      <w:r>
        <w:rPr>
          <w:color w:val="auto"/>
        </w:rPr>
        <w:t xml:space="preserve"> and Forwarding Agency, loading and unloading, posts, telecommunications, radio and television and satellite transmission services, Internet and related services, water management industry, ecological protection and environmental governance, public facilities management.</w:t>
      </w:r>
    </w:p>
    <w:p w:rsidR="00FE245C" w:rsidRDefault="00FE245C" w:rsidP="00FE245C">
      <w:pPr>
        <w:pStyle w:val="a3"/>
        <w:snapToGrid w:val="0"/>
        <w:spacing w:line="300" w:lineRule="auto"/>
        <w:ind w:firstLineChars="200" w:firstLine="361"/>
        <w:rPr>
          <w:color w:val="auto"/>
        </w:rPr>
      </w:pPr>
      <w:r>
        <w:rPr>
          <w:b/>
          <w:color w:val="auto"/>
        </w:rPr>
        <w:t xml:space="preserve">Actual Funds for </w:t>
      </w:r>
      <w:proofErr w:type="gramStart"/>
      <w:r>
        <w:rPr>
          <w:b/>
          <w:color w:val="auto"/>
        </w:rPr>
        <w:t>Investment</w:t>
      </w:r>
      <w:r>
        <w:rPr>
          <w:color w:val="auto"/>
        </w:rPr>
        <w:t xml:space="preserve">  refer</w:t>
      </w:r>
      <w:proofErr w:type="gramEnd"/>
      <w:r>
        <w:rPr>
          <w:color w:val="auto"/>
        </w:rPr>
        <w:t xml:space="preserve"> to all kinds of monetary funds used for fixed assets investment. It includes state budget funds, domestic loans, foreign capital utilization, self-raising funds and other funds.</w:t>
      </w:r>
    </w:p>
    <w:p w:rsidR="00FE245C" w:rsidRDefault="00FE245C" w:rsidP="00FE245C">
      <w:pPr>
        <w:pStyle w:val="a3"/>
        <w:snapToGrid w:val="0"/>
        <w:spacing w:line="300" w:lineRule="auto"/>
        <w:ind w:firstLineChars="200" w:firstLine="361"/>
        <w:rPr>
          <w:color w:val="auto"/>
          <w:spacing w:val="-2"/>
        </w:rPr>
      </w:pPr>
      <w:r>
        <w:rPr>
          <w:b/>
          <w:color w:val="auto"/>
        </w:rPr>
        <w:t xml:space="preserve">Fund from the </w:t>
      </w:r>
      <w:smartTag w:uri="urn:schemas-microsoft-com:office:smarttags" w:element="place">
        <w:smartTag w:uri="urn:schemas-microsoft-com:office:smarttags" w:element="PlaceType">
          <w:r>
            <w:rPr>
              <w:b/>
              <w:color w:val="auto"/>
            </w:rPr>
            <w:t>State</w:t>
          </w:r>
        </w:smartTag>
        <w:r>
          <w:rPr>
            <w:b/>
            <w:color w:val="auto"/>
          </w:rPr>
          <w:t xml:space="preserve"> </w:t>
        </w:r>
        <w:proofErr w:type="gramStart"/>
        <w:smartTag w:uri="urn:schemas-microsoft-com:office:smarttags" w:element="PlaceName">
          <w:r>
            <w:rPr>
              <w:b/>
              <w:color w:val="auto"/>
            </w:rPr>
            <w:t>Budget</w:t>
          </w:r>
        </w:smartTag>
        <w:r>
          <w:rPr>
            <w:color w:val="auto"/>
          </w:rPr>
          <w:t xml:space="preserve">  </w:t>
        </w:r>
        <w:smartTag w:uri="urn:schemas-microsoft-com:office:smarttags" w:element="PlaceType">
          <w:r>
            <w:rPr>
              <w:color w:val="auto"/>
              <w:spacing w:val="-2"/>
            </w:rPr>
            <w:t>State</w:t>
          </w:r>
        </w:smartTag>
      </w:smartTag>
      <w:proofErr w:type="gramEnd"/>
      <w:r>
        <w:rPr>
          <w:color w:val="auto"/>
          <w:spacing w:val="-2"/>
        </w:rPr>
        <w:t xml:space="preserve"> budget consists of general budget, government fund budget, operation budget of state-owned assets and social security fund budget. Funds for investment in fixed assets from various budgets are reported as fund from the state budget, of which, the general budget utilized on fixed assets investment includes investment on infrastructure construction, vehicle purchase tax, post-disaster restoration and reconstruction funds and other financial investment. Government bonds at all levels should also be included.</w:t>
      </w:r>
    </w:p>
    <w:p w:rsidR="00FE245C" w:rsidRDefault="00FE245C" w:rsidP="00FE245C">
      <w:pPr>
        <w:pStyle w:val="a3"/>
        <w:snapToGrid w:val="0"/>
        <w:spacing w:line="300" w:lineRule="auto"/>
        <w:ind w:firstLineChars="200" w:firstLine="361"/>
        <w:rPr>
          <w:color w:val="auto"/>
        </w:rPr>
      </w:pPr>
      <w:r>
        <w:rPr>
          <w:b/>
          <w:color w:val="auto"/>
        </w:rPr>
        <w:t>Domestic Loans</w:t>
      </w:r>
      <w:r>
        <w:rPr>
          <w:color w:val="auto"/>
        </w:rPr>
        <w:t xml:space="preserve">  refer to loans of various forms borrowed by investing units from banks and non-bank financial institutions during the reference period for the purpose of investment in fixed assets, including loans issued by banks from their self-owned funds and deposit, loans appropriated by higher responsible authorities, </w:t>
      </w:r>
      <w:bookmarkStart w:id="0" w:name="baidusnap3"/>
      <w:bookmarkEnd w:id="0"/>
      <w:r>
        <w:rPr>
          <w:color w:val="auto"/>
        </w:rPr>
        <w:t>special loans by gover</w:t>
      </w:r>
      <w:r>
        <w:t xml:space="preserve">nment (including </w:t>
      </w:r>
      <w:bookmarkStart w:id="1" w:name="baidusnap4"/>
      <w:bookmarkEnd w:id="1"/>
      <w:r>
        <w:t>loan for substituting petroleum with coal, special loans for reform-through-</w:t>
      </w:r>
      <w:proofErr w:type="spellStart"/>
      <w:r>
        <w:t>labour</w:t>
      </w:r>
      <w:proofErr w:type="spellEnd"/>
      <w:r>
        <w:t xml:space="preserve"> coal mines), loans arranged by local governme</w:t>
      </w:r>
      <w:r>
        <w:rPr>
          <w:color w:val="auto"/>
        </w:rPr>
        <w:t>nt from special funds, domestic reserve loan, and revolving loan, etc.</w:t>
      </w:r>
    </w:p>
    <w:p w:rsidR="00FE245C" w:rsidRDefault="00FE245C" w:rsidP="00FE245C">
      <w:pPr>
        <w:pStyle w:val="a3"/>
        <w:snapToGrid w:val="0"/>
        <w:spacing w:line="300" w:lineRule="auto"/>
        <w:ind w:firstLineChars="200" w:firstLine="361"/>
        <w:rPr>
          <w:color w:val="auto"/>
        </w:rPr>
      </w:pPr>
      <w:r>
        <w:rPr>
          <w:b/>
          <w:color w:val="auto"/>
        </w:rPr>
        <w:t>Foreign Investment</w:t>
      </w:r>
      <w:r>
        <w:rPr>
          <w:color w:val="auto"/>
        </w:rPr>
        <w:t xml:space="preserve">  refers to overseas (including foreign countries, </w:t>
      </w:r>
      <w:proofErr w:type="spellStart"/>
      <w:r>
        <w:rPr>
          <w:color w:val="auto"/>
        </w:rPr>
        <w:t>Hongkong</w:t>
      </w:r>
      <w:proofErr w:type="spellEnd"/>
      <w:r>
        <w:rPr>
          <w:color w:val="auto"/>
        </w:rPr>
        <w:t xml:space="preserve">, Macao and Taiwan) funds received during the reference period (covering equipment, materials and technology), including foreign borrowings (loans from foreign governments and </w:t>
      </w:r>
      <w:smartTag w:uri="urn:schemas-microsoft-com:office:smarttags" w:element="PersonName">
        <w:r>
          <w:rPr>
            <w:color w:val="auto"/>
          </w:rPr>
          <w:t>international</w:t>
        </w:r>
      </w:smartTag>
      <w:r>
        <w:rPr>
          <w:color w:val="auto"/>
        </w:rPr>
        <w:t xml:space="preserve"> financial institutions, export credit, commercial loans from foreign banks, issue of bonds and stocks overseas), foreign direct investment and other foreign investments (including funds from foreign direct investment income that are reinvested in fixed assets domestically). Excluded from this category is capital in foreign exchanges owned by </w:t>
      </w:r>
      <w:smartTag w:uri="urn:schemas-microsoft-com:office:smarttags" w:element="place">
        <w:smartTag w:uri="urn:schemas-microsoft-com:office:smarttags" w:element="country-region">
          <w:r>
            <w:rPr>
              <w:color w:val="auto"/>
            </w:rPr>
            <w:t>China</w:t>
          </w:r>
        </w:smartTag>
      </w:smartTag>
      <w:r>
        <w:rPr>
          <w:color w:val="auto"/>
        </w:rPr>
        <w:t xml:space="preserve"> (foreign exchanges owned by the central and local governments, foreign exchanges retained by enterprises, foreign exchanges by enterprises through the regulating mechanism, loans in foreign exchanges issued by the Bank of China with its own fund, etc.). In calculating the utilization of foreign capital, foreign currencies are converted into Chinese Renminbi applying the exchange rate (central parity rate) at the end of the reference period.</w:t>
      </w:r>
    </w:p>
    <w:p w:rsidR="00FE245C" w:rsidRDefault="00FE245C" w:rsidP="00FE245C">
      <w:pPr>
        <w:pStyle w:val="a3"/>
        <w:snapToGrid w:val="0"/>
        <w:spacing w:line="300" w:lineRule="auto"/>
        <w:ind w:firstLineChars="200" w:firstLine="361"/>
        <w:rPr>
          <w:color w:val="auto"/>
        </w:rPr>
      </w:pPr>
      <w:r>
        <w:rPr>
          <w:b/>
          <w:color w:val="auto"/>
        </w:rPr>
        <w:t>Self-raised Funds</w:t>
      </w:r>
      <w:r>
        <w:rPr>
          <w:color w:val="auto"/>
        </w:rPr>
        <w:t xml:space="preserve">  refer to funds for investment in fixed assets received during the reference period by investing units, including investment in fixed assets using own funds of various enterprises and institutions or funds raised from other units other than financial funds, funds borrowed from financial institutions and overseas funds.</w:t>
      </w:r>
    </w:p>
    <w:p w:rsidR="00FE245C" w:rsidRDefault="00FE245C" w:rsidP="00FE245C">
      <w:pPr>
        <w:pStyle w:val="a3"/>
        <w:snapToGrid w:val="0"/>
        <w:spacing w:line="300" w:lineRule="auto"/>
        <w:ind w:firstLineChars="200" w:firstLine="361"/>
        <w:rPr>
          <w:color w:val="auto"/>
        </w:rPr>
      </w:pPr>
      <w:r>
        <w:rPr>
          <w:b/>
          <w:color w:val="auto"/>
        </w:rPr>
        <w:t>Other Funds</w:t>
      </w:r>
      <w:r>
        <w:rPr>
          <w:color w:val="auto"/>
        </w:rPr>
        <w:t xml:space="preserve">  refer to funds for investment in fixed assets received from sources other than those listed above, including funds raised from individuals and through donations, and funds transferred from other units.</w:t>
      </w:r>
    </w:p>
    <w:p w:rsidR="00FE245C" w:rsidRDefault="00FE245C" w:rsidP="00FE245C">
      <w:pPr>
        <w:pStyle w:val="a3"/>
        <w:snapToGrid w:val="0"/>
        <w:spacing w:line="300" w:lineRule="auto"/>
        <w:ind w:firstLineChars="200" w:firstLine="361"/>
        <w:rPr>
          <w:color w:val="auto"/>
          <w:spacing w:val="-4"/>
        </w:rPr>
      </w:pPr>
      <w:r>
        <w:rPr>
          <w:b/>
          <w:bCs/>
          <w:color w:val="auto"/>
        </w:rPr>
        <w:t xml:space="preserve">Investment in Fixed Assets by </w:t>
      </w:r>
      <w:proofErr w:type="gramStart"/>
      <w:r>
        <w:rPr>
          <w:b/>
          <w:bCs/>
          <w:color w:val="auto"/>
        </w:rPr>
        <w:t>Sector</w:t>
      </w:r>
      <w:r>
        <w:rPr>
          <w:color w:val="auto"/>
        </w:rPr>
        <w:t xml:space="preserve">  </w:t>
      </w:r>
      <w:r>
        <w:rPr>
          <w:color w:val="auto"/>
          <w:spacing w:val="-4"/>
        </w:rPr>
        <w:t>refers</w:t>
      </w:r>
      <w:proofErr w:type="gramEnd"/>
      <w:r>
        <w:rPr>
          <w:color w:val="auto"/>
          <w:spacing w:val="-4"/>
        </w:rPr>
        <w:t xml:space="preserve"> to the classification of investment by the nature of social economic activities the investing units are engaged in. The classification of construction projects by sector is determined by the major products or the purpose of the projects when they are put into production or use, and by the nature of their social economic activities, instead of being determined by industrial classification of the project enterprises. The project will be classified according to major product if there are several kinds of products yielded. In general, one project can only be classified into </w:t>
      </w:r>
      <w:r>
        <w:rPr>
          <w:color w:val="auto"/>
          <w:spacing w:val="-4"/>
        </w:rPr>
        <w:lastRenderedPageBreak/>
        <w:t>one sector.</w:t>
      </w:r>
    </w:p>
    <w:p w:rsidR="00FE245C" w:rsidRDefault="00FE245C" w:rsidP="00FE245C">
      <w:pPr>
        <w:pStyle w:val="a3"/>
        <w:snapToGrid w:val="0"/>
        <w:spacing w:line="300" w:lineRule="auto"/>
        <w:ind w:firstLineChars="200" w:firstLine="361"/>
        <w:rPr>
          <w:color w:val="auto"/>
        </w:rPr>
      </w:pPr>
      <w:r>
        <w:rPr>
          <w:b/>
          <w:bCs/>
          <w:color w:val="auto"/>
        </w:rPr>
        <w:t>Investment in Fixed Assets by Type of Construction</w:t>
      </w:r>
      <w:r>
        <w:rPr>
          <w:color w:val="auto"/>
        </w:rPr>
        <w:t xml:space="preserve">  </w:t>
      </w:r>
      <w:proofErr w:type="spellStart"/>
      <w:r>
        <w:rPr>
          <w:color w:val="auto"/>
        </w:rPr>
        <w:t>Construction</w:t>
      </w:r>
      <w:proofErr w:type="spellEnd"/>
      <w:r>
        <w:rPr>
          <w:color w:val="auto"/>
        </w:rPr>
        <w:t xml:space="preserve"> projects in general can be classified, by the type </w:t>
      </w:r>
      <w:r>
        <w:rPr>
          <w:color w:val="auto"/>
          <w:spacing w:val="-4"/>
        </w:rPr>
        <w:t>of construction, into new construction, expansion, reconstruction</w:t>
      </w:r>
      <w:r>
        <w:rPr>
          <w:color w:val="auto"/>
        </w:rPr>
        <w:t xml:space="preserve"> and technical transformation, purely construction of living facilities, moving, restoration and purely purchasing. However, investment by type of construction is not applied to investment by real-estate development units and investment by rural households. </w:t>
      </w:r>
    </w:p>
    <w:p w:rsidR="00FE245C" w:rsidRDefault="00FE245C" w:rsidP="00FE245C">
      <w:pPr>
        <w:pStyle w:val="a3"/>
        <w:snapToGrid w:val="0"/>
        <w:spacing w:line="300" w:lineRule="auto"/>
        <w:ind w:firstLineChars="200" w:firstLine="360"/>
        <w:rPr>
          <w:color w:val="auto"/>
        </w:rPr>
      </w:pPr>
      <w:r>
        <w:rPr>
          <w:color w:val="auto"/>
        </w:rPr>
        <w:t>(1) New construction in general refers to construction projects, which start from scratch. The existing projects invested by enterprises, institutions and administrative agencies cannot be classified as new construction. In case the size of the existing unit is quite small, and the value of newly added fixed assets is more than three times of the original value, the expansion will be considered as new construction.</w:t>
      </w:r>
    </w:p>
    <w:p w:rsidR="00FE245C" w:rsidRDefault="00FE245C" w:rsidP="00FE245C">
      <w:pPr>
        <w:pStyle w:val="a3"/>
        <w:snapToGrid w:val="0"/>
        <w:spacing w:line="300" w:lineRule="auto"/>
        <w:ind w:firstLineChars="200" w:firstLine="360"/>
        <w:rPr>
          <w:color w:val="auto"/>
        </w:rPr>
      </w:pPr>
      <w:r>
        <w:rPr>
          <w:color w:val="auto"/>
        </w:rPr>
        <w:t>(2) Expansion refers to projects of construction of new production workshop, branch factory or independent production line within a factory or in other locatio</w:t>
      </w:r>
      <w:bookmarkStart w:id="2" w:name="_GoBack"/>
      <w:bookmarkEnd w:id="2"/>
      <w:r>
        <w:rPr>
          <w:color w:val="auto"/>
        </w:rPr>
        <w:t>ns, for the purpose of increasing the production capacity (or improving efficiency) or adding new production capacity. Newly constructed accommodation for the operation of institutions and administrative organizations (such as newly constructed buildings for teaching in schools, buildings for clinics or wards in hospitals, etc.) are also classified as expansion.</w:t>
      </w:r>
    </w:p>
    <w:p w:rsidR="00FE245C" w:rsidRDefault="00FE245C" w:rsidP="00FE245C">
      <w:pPr>
        <w:pStyle w:val="a3"/>
        <w:snapToGrid w:val="0"/>
        <w:spacing w:line="300" w:lineRule="auto"/>
        <w:ind w:firstLineChars="200" w:firstLine="360"/>
        <w:rPr>
          <w:color w:val="auto"/>
        </w:rPr>
      </w:pPr>
      <w:r>
        <w:rPr>
          <w:color w:val="auto"/>
        </w:rPr>
        <w:t>Also included in expansion are investments by existing enterprises or institutions in building major production line(s) or branch factory (</w:t>
      </w:r>
      <w:proofErr w:type="spellStart"/>
      <w:r>
        <w:rPr>
          <w:color w:val="auto"/>
        </w:rPr>
        <w:t>ies</w:t>
      </w:r>
      <w:proofErr w:type="spellEnd"/>
      <w:r>
        <w:rPr>
          <w:color w:val="auto"/>
        </w:rPr>
        <w:t>) along with some work on innovation, for the purpose of expanding the production capacity of original products or producing new products.</w:t>
      </w:r>
    </w:p>
    <w:p w:rsidR="00FE245C" w:rsidRDefault="00FE245C" w:rsidP="00FE245C">
      <w:pPr>
        <w:pStyle w:val="a3"/>
        <w:snapToGrid w:val="0"/>
        <w:spacing w:line="300" w:lineRule="auto"/>
        <w:ind w:firstLineChars="200" w:firstLine="360"/>
        <w:rPr>
          <w:color w:val="auto"/>
        </w:rPr>
      </w:pPr>
      <w:r>
        <w:rPr>
          <w:noProof/>
        </w:rPr>
        <mc:AlternateContent>
          <mc:Choice Requires="wps">
            <w:drawing>
              <wp:anchor distT="0" distB="0" distL="114300" distR="114300" simplePos="0" relativeHeight="251658240" behindDoc="0" locked="0" layoutInCell="1" allowOverlap="1">
                <wp:simplePos x="0" y="0"/>
                <wp:positionH relativeFrom="column">
                  <wp:posOffset>-137160</wp:posOffset>
                </wp:positionH>
                <wp:positionV relativeFrom="paragraph">
                  <wp:posOffset>0</wp:posOffset>
                </wp:positionV>
                <wp:extent cx="0" cy="8872855"/>
                <wp:effectExtent l="15240" t="19050" r="13335" b="1397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2855"/>
                        </a:xfrm>
                        <a:prstGeom prst="line">
                          <a:avLst/>
                        </a:prstGeom>
                        <a:noFill/>
                        <a:ln w="2222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B078A" id="直接连接符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0" to="-10.8pt,6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" strokeweight="1.75pt">
                <v:stroke linestyle="thinThin"/>
              </v:line>
            </w:pict>
          </mc:Fallback>
        </mc:AlternateContent>
      </w:r>
      <w:r>
        <w:t xml:space="preserve">(3) Reconstruction and technical transformation refers to construction projects by existing enterprises or institutions in innovation or technical transformation of the old facilities (including auxiliary production equipment and welfare facilities). Also considered as reconstruction is the construction of new workshops by the existing enterprises or institutions to change the variety of products to meet the market demand (such as the production of civil products by </w:t>
      </w:r>
      <w:proofErr w:type="spellStart"/>
      <w:r>
        <w:t>defence</w:t>
      </w:r>
      <w:proofErr w:type="spellEnd"/>
      <w:r>
        <w:t xml:space="preserve"> industries), or to bring the designed production capacity into full play through a more balanced production process on production lines. Technical transformation refers to replacement of old technology or equipment by new technology or equipment, in order to expand the reproduction through improvement of technology contents in production, to improve product quality, </w:t>
      </w:r>
      <w:r>
        <w:rPr>
          <w:spacing w:val="-4"/>
        </w:rPr>
        <w:t>to promote new products, to save energy, to reduce consumption,</w:t>
      </w:r>
      <w:r>
        <w:t xml:space="preserve"> to expand the production scale and to improve overall </w:t>
      </w:r>
      <w:r>
        <w:rPr>
          <w:spacing w:val="-6"/>
        </w:rPr>
        <w:t>social-economic efficiency. Contents of technical transformation</w:t>
      </w:r>
      <w:r>
        <w:t xml:space="preserve"> include: updating of machinery, equipment and tools; reforming production process by using energy or materials saving technology; construction of factory workshops and transformation of public facilities; treatment transformation of “three wastes” (waste gas, waste water and industrial residue) aiming at environmental protection; improvement of working conditions and environment, etc.</w:t>
      </w:r>
    </w:p>
    <w:p w:rsidR="00FE245C" w:rsidRDefault="00FE245C" w:rsidP="00FE245C">
      <w:pPr>
        <w:pStyle w:val="a3"/>
        <w:snapToGrid w:val="0"/>
        <w:spacing w:line="300" w:lineRule="auto"/>
        <w:ind w:firstLineChars="200" w:firstLine="361"/>
        <w:rPr>
          <w:color w:val="auto"/>
        </w:rPr>
      </w:pPr>
      <w:r>
        <w:rPr>
          <w:b/>
          <w:bCs/>
          <w:color w:val="auto"/>
        </w:rPr>
        <w:t>Investment in Fixed Assets by Structure</w:t>
      </w:r>
      <w:r>
        <w:rPr>
          <w:color w:val="auto"/>
        </w:rPr>
        <w:t xml:space="preserve">  </w:t>
      </w:r>
    </w:p>
    <w:p w:rsidR="00FE245C" w:rsidRDefault="00FE245C" w:rsidP="00FE245C">
      <w:pPr>
        <w:pStyle w:val="a3"/>
        <w:snapToGrid w:val="0"/>
        <w:spacing w:line="300" w:lineRule="auto"/>
        <w:ind w:firstLineChars="200" w:firstLine="360"/>
        <w:rPr>
          <w:color w:val="auto"/>
        </w:rPr>
      </w:pPr>
      <w:r>
        <w:rPr>
          <w:color w:val="auto"/>
        </w:rPr>
        <w:t>(1) Construction refers to the construction of houses and buildings, also known as work volume of construction. This part of investment can only be achieved through construction activities, it is the major component of the total investment in fixed assets.</w:t>
      </w:r>
    </w:p>
    <w:p w:rsidR="00FE245C" w:rsidRDefault="00FE245C" w:rsidP="00FE245C">
      <w:pPr>
        <w:pStyle w:val="a3"/>
        <w:snapToGrid w:val="0"/>
        <w:spacing w:line="300" w:lineRule="auto"/>
        <w:ind w:firstLineChars="200" w:firstLine="360"/>
        <w:rPr>
          <w:color w:val="auto"/>
        </w:rPr>
      </w:pPr>
      <w:r>
        <w:rPr>
          <w:color w:val="auto"/>
        </w:rPr>
        <w:t>(2) Installation refers to the installation of various kinds of equipment and instruments, also known as work volume of installation.</w:t>
      </w:r>
    </w:p>
    <w:p w:rsidR="00FE245C" w:rsidRDefault="00FE245C" w:rsidP="00FE245C">
      <w:pPr>
        <w:pStyle w:val="a3"/>
        <w:snapToGrid w:val="0"/>
        <w:spacing w:line="300" w:lineRule="auto"/>
        <w:ind w:firstLineChars="200" w:firstLine="360"/>
        <w:rPr>
          <w:color w:val="auto"/>
        </w:rPr>
      </w:pPr>
      <w:r>
        <w:rPr>
          <w:color w:val="auto"/>
        </w:rPr>
        <w:t>The value of equipment installed itself is not included in the value of installation projects.</w:t>
      </w:r>
    </w:p>
    <w:p w:rsidR="00FE245C" w:rsidRDefault="00FE245C" w:rsidP="00FE245C">
      <w:pPr>
        <w:pStyle w:val="a3"/>
        <w:snapToGrid w:val="0"/>
        <w:spacing w:line="300" w:lineRule="auto"/>
        <w:ind w:firstLineChars="200" w:firstLine="360"/>
        <w:rPr>
          <w:color w:val="auto"/>
        </w:rPr>
      </w:pPr>
      <w:r>
        <w:rPr>
          <w:color w:val="auto"/>
        </w:rPr>
        <w:t>(3) Purchase of equipment and instruments refers to the total value of equipment, tools, and instruments purchased or self-produced which come up to the cut-off point for fixed assets during the reference period. Equipment, tools and instruments purchased or self-produced for new workshops by newly established or expanded units are categorized as “purchase of equipment and instruments” no matter whether they come up to the cut-off point for fixed assets.</w:t>
      </w:r>
    </w:p>
    <w:p w:rsidR="00FE245C" w:rsidRDefault="00FE245C" w:rsidP="00FE245C">
      <w:pPr>
        <w:pStyle w:val="a3"/>
        <w:snapToGrid w:val="0"/>
        <w:spacing w:line="300" w:lineRule="auto"/>
        <w:ind w:firstLineChars="200" w:firstLine="360"/>
        <w:rPr>
          <w:color w:val="auto"/>
        </w:rPr>
      </w:pPr>
      <w:r>
        <w:rPr>
          <w:color w:val="auto"/>
        </w:rPr>
        <w:t>(4) Other expenses refer to expenses arising during the construction or purchase of fixed assets other than those expenses on construction, installation and purchase of equipment and instruments. Other financial expenses arising in operation are not included.</w:t>
      </w:r>
    </w:p>
    <w:p w:rsidR="00C71CA4" w:rsidRDefault="00C71CA4"/>
    <w:sectPr w:rsidR="00C71C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仪中黑简">
    <w:altName w:val="Arial Unicode MS"/>
    <w:charset w:val="86"/>
    <w:family w:val="modern"/>
    <w:pitch w:val="fixed"/>
    <w:sig w:usb0="00000000" w:usb1="080E0800" w:usb2="00000012" w:usb3="00000000" w:csb0="00040000" w:csb1="00000000"/>
  </w:font>
  <w:font w:name="汉仪书宋一简">
    <w:altName w:val="Arial Unicode MS"/>
    <w:charset w:val="86"/>
    <w:family w:val="modern"/>
    <w:pitch w:val="fixed"/>
    <w:sig w:usb0="00000000" w:usb1="080E0800" w:usb2="00000012"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064"/>
    <w:rsid w:val="002B2064"/>
    <w:rsid w:val="00C71CA4"/>
    <w:rsid w:val="00FE2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053375DE-8242-4F67-885D-20DDDB84F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45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Ó¢Ö¸±êÄÚÎÄ"/>
    <w:rsid w:val="00FE245C"/>
    <w:pPr>
      <w:widowControl w:val="0"/>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ind w:firstLine="425"/>
      <w:jc w:val="both"/>
    </w:pPr>
    <w:rPr>
      <w:rFonts w:ascii="Times New Roman" w:eastAsia="宋体" w:hAnsi="Times New Roman" w:cs="Times New Roman"/>
      <w:color w:val="000000"/>
      <w:kern w:val="0"/>
      <w:sz w:val="18"/>
      <w:szCs w:val="18"/>
    </w:rPr>
  </w:style>
  <w:style w:type="character" w:customStyle="1" w:styleId="high-lighthigh-light-bg">
    <w:name w:val="high-light high-light-bg"/>
    <w:basedOn w:val="a0"/>
    <w:rsid w:val="00FE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74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1900</Words>
  <Characters>10836</Characters>
  <Application>Microsoft Office Word</Application>
  <DocSecurity>0</DocSecurity>
  <Lines>90</Lines>
  <Paragraphs>25</Paragraphs>
  <ScaleCrop>false</ScaleCrop>
  <Company/>
  <LinksUpToDate>false</LinksUpToDate>
  <CharactersWithSpaces>12711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孙再明(拟稿)</dc:creator>
  <cp:keywords/>
  <dc:description/>
  <cp:lastModifiedBy>孙再明(拟稿)</cp:lastModifiedBy>
  <cp:revision>2</cp:revision>
  <dcterms:created xsi:type="dcterms:W3CDTF">2019-12-06T03:49:00Z</dcterms:created>
  <dcterms:modified xsi:type="dcterms:W3CDTF">2019-12-06T03:53:00Z</dcterms:modified>
</cp:coreProperties>
</file>