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仙桃市2022年国民经济和社会发展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统计公报</w:t>
      </w:r>
    </w:p>
    <w:p>
      <w:pPr>
        <w:pStyle w:val="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2022年在仙桃市委市政府的坚强领导下，全市人民迎难而上、砥砺前行，全市经济运行稳中向好、进中提质。2022年度地区生产总值（GDP）迈上千亿新台阶，跻身中部县域经济前十，全省居首，实现历史性跨越。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一、综合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步核算，2022年，仙桃市地区生产总值为1013.14亿元，按不变价格计算，比上年增长5.3%。分产业看，第一产业增加值122.6亿元，增长3.3%；第二产业增加值461.64亿元，增长8.3%；第三产业增加值428.9亿元，同比增长3.0%。三次产业结构由2021年的12.8:42.7:44.5调整为12.1:45.6:42.3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在第三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产业中，农林牧渔专业及辅助性活动、金融业、营利性服务业、交通运输仓储和邮政业、批发和零售业、住宿和餐饮业增加值分别增长14.5%、8.9%、5.3%、2.5%、1.1%、0.3%。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人均地区生产总值91641元，按可比价格计算，比上年增长6.7%。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0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79645" cy="2677795"/>
            <wp:effectExtent l="4445" t="4445" r="16510" b="2286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4714240" cy="2535555"/>
            <wp:effectExtent l="4445" t="5080" r="5715" b="1206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年末拥有各类工商登记市场主体总数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13.93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12.5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新发展市场主体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万户，增长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32.2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新登记企业6651户，增长7.7%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新登记个体户12636户，同比增长31.3%。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企业121家，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其中：规上工业18个，占全市14.9%；建筑业9个，占全市7.4%；规上服务业4个，占全市3.3%；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批发和零售业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42个，占全市34.7%；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住宿和餐饮业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44个，占全市36.4%；房地产业4个，占全市3.3%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二、农业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农林牧渔业总产值完成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212.69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亿元，按不变价格计算，比上年增长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560" w:firstLineChars="200"/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表1 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2022年仙桃市农林牧渔业总产值</w:t>
      </w:r>
    </w:p>
    <w:tbl>
      <w:tblPr>
        <w:tblStyle w:val="9"/>
        <w:tblW w:w="8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432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总产值（亿元）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可比价增幅（%）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农林牧渔业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212.69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其中：农业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67.27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牧业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41.94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87.38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专业及辅助性活动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13.86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176.63万亩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增加0.17万亩。其中，稻谷种植面积96.12万亩，减少0.98万亩；小麦种植面积39.01万亩，减少0.93万亩；玉米种植面积21.38万亩，增加0.95万亩；大豆种植面积15.1万亩，增加0.9万亩。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全年粮食总产量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70.33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比上年减少0.5万吨，减产0.7%。谷物产量68.29万吨，减产0.8%。其中，稻谷产量54.26万吨，减产1.4%；小麦产量7.49万吨，增产2.0%；玉米产量5.95万吨，减产0.1%。大豆产量1.54万吨，增产1.0%。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棉花产量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蔬菜及食用菌产量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菜籽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59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全年猪肉产量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4.12万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下降9.5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禽蛋产量1.94万吨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%。水产品产量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30.03万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三、工业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和建筑业</w:t>
      </w:r>
    </w:p>
    <w:p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全年规模以上工业增加值比上年增长11%。分经济类型看，股份制企业增长8.7%，外商及港澳台投资企业增长21.4%。轻工业增长9.8%，重工业增长15.1%。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全市30个行业大类中，有21个行业实现增加值同比增长，增长面达70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，同比提高5.4个百分点。前十大行业有7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个实现增长，其中，橡胶和塑料制品业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电气机械和器材制造业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纺织业分别增长15.7%、1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、10.7%。</w:t>
      </w:r>
    </w:p>
    <w:p>
      <w:pPr>
        <w:pStyle w:val="2"/>
        <w:rPr>
          <w:rFonts w:hint="eastAsia"/>
        </w:rPr>
      </w:pP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4790440" cy="2533650"/>
            <wp:effectExtent l="4445" t="4445" r="5715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全年完成规模以上工业总产值1140.14亿元，比上年增长8.3%。其中，非织造布产业完成329.31亿元，增长5.4%；电子电气产业完成81.68亿元，增长14.9%；纺织服装产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128.38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%；机械及汽车零部件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76.76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全年规模以上工业销售产值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比上年增长7.7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产品销售率为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97.42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%，出口交货值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%。全年规模以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工业企业实现利润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总额74.82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全年工业用电量累计完成25.0亿千瓦时，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增长11.4％，高于全省平均水平9.7个百分点，占全社会用电量比重为54.5%。</w:t>
      </w:r>
    </w:p>
    <w:p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全市48种主要工业产品中，有31种产品的产量实现正增长。</w:t>
      </w:r>
    </w:p>
    <w:tbl>
      <w:tblPr>
        <w:tblStyle w:val="9"/>
        <w:tblW w:w="82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1305"/>
        <w:gridCol w:w="154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表2  2022年全市主要工业产品产量及其增长速度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精制食用植物油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冷冻水产品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焙烤松脆食品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-82.9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毛机织物（呢绒）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非织造布（无纺布）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万个(只)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1327037.4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6211.9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1635.0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沥青和改性沥青防水卷材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357.1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隔热、隔音人造矿物材料及其制品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金属切削工具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506.4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金属压力容器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18954.0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工商用制冷、空调设备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万台(套)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通信及电子网络用电缆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万对千米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光电子器件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印制电路板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412.7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自来水生产量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建筑业稳步发展。全市资质以内建筑企业共60家，比去年增加9家，完成总产值153亿元，比上年增长13.6%。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签订合同额193.11亿元，增长22.6%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四、固定资产投资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房地产</w:t>
      </w:r>
    </w:p>
    <w:p>
      <w:pPr>
        <w:ind w:firstLine="59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比上年增长19.5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按产业划分，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一、二、三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增长25.2%、24.5%和15.0%。分领域看，工业投资、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民间投资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分别增长24%、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分行业看，全市高技术制造业投资增长5.9%，高技术服务业投资增长763.4%。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全市建安工程投资同比增长20.1%，建安投资占固定资产投资的比重为76.3%，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年增加0.4个百分点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15865" cy="3018790"/>
            <wp:effectExtent l="4445" t="4445" r="8890" b="571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集中签约项目371个，签约金额1099.12亿元，亿元以上招商引资项目94个，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增长28.8%；全市施工项目594个，增长14.2%，其中本年新开工项目396个，增长31.6%；本年投产项目372个，增长5.9%。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房地产开发投资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下降8.8%，占全部投资的比重为9.7%。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商品房销售面积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下降14.6%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国内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外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贸易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全年实现社会消费品零售总额498.32亿元，比上年增长3.4%。分城乡看，城镇实现零售额304.64亿元，增长3.4%；乡村实现零售额193.67亿元，增长3.3%。其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中，限额以上企业（单位）实现消费品零售额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305.9亿元，增长12.5%。分行业看，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发业实现销售额64.35亿元，增长11.5%；零售业实现销售额232.99亿元，增长12.1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%；住宿业实现营业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额1.58亿元，增长14.5%；餐饮业实现营业额6.98亿元，增长13.1%。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drawing>
          <wp:inline distT="0" distB="0" distL="114300" distR="114300">
            <wp:extent cx="4941570" cy="2753360"/>
            <wp:effectExtent l="4445" t="4445" r="6985" b="23495"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实现进出口95.7亿元，同比增长7.9%，其中出口总额86.8亿元，同比增长17.8%；进口总额8.9亿元，同比下降40.7%。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全年实际利用外资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万美元。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、交通、邮电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和旅游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年末全市公路通车里程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公里，其中等级公路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公里；高速公路里程153公里。全年完成货运量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比上年下降8.6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%；完成客运量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186.79万人，下降23.9%。民用汽车拥有量累计14.17万辆，增长7.3%，其中私人汽车累计13.32万辆，增长7.3%。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全年完成邮电业务收入12.17亿元，比上年增长14.4%，其中邮政业务收入3.35亿元，增长14.4%。邮政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快递业务量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1356.06万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增长33.0%；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快递业务收入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3823.03万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增长20.6%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年末本地固定电话用户9.33万户，下降3.9%；移动电话年末用户109.73万户，增长3.4%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固定互联网宽带接入用户57.08万户，增长7.1%。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全年共接待游客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545.62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%，旅游总收入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星级饭店3个，客房数369间。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、财政、金融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全年财政总收入完成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59.48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比上年下降8.0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%。地方一般公共财预算收入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完成34.51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下降7.0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地方公共财政预算收入中税收收入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下降16.2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%，占地方一般公共预算收入的比重为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83.2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下降0.8%。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全市金融机构各项存款余额1145.97亿元，比上年增长13.7%，比年初增加138.23亿元；其中住户存款893.53亿元，增长17.8%，比年初增加135.02亿元。各项贷款余额582.35亿元，增长18.6%，比年初增加91.25亿元；其中住户贷款311.11亿元，增长10.2%，比年初增加28.9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八、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科学技术和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教育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高新技术企业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共有158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家，高新技术产业增加值完成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比上年增长13.9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%，高新技术产业增加值占GDP比重为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新增专利授权量1093 件，其中授权发明专利68件，同比增长13.3%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每万人发明专利拥有量为 3.69件，同比增长20.7%，其中每万人高价值发明专利拥有量1.30件，同比增长37.2%。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经认定的省级研发机构24家，市级创新平台128家，产业技术创新平台框架初步形成。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市年均转化科技成果20项以上，被科技部列入全国首批52家创新型县（市）建设名单。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全市学校总数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113个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。在校学生数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万人。专任教师数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10308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人。全市幼儿园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所，在园幼儿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万人。学龄儿童入学率100%，初中毕业生升学率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%，九年义务教育完成率9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文化、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卫生和体育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个公共图书馆，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公共图书馆藏书24.61万册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文化站22个，民间剧团20个，电影院9个。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广播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电视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覆盖率为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共有医院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个，基层医疗卫生机构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844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个，专业公共卫生机构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8484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人，其中执业助理医师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2438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人，注册护师、护士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2816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人。医疗卫生机构床位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8172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张，其中医院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6195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张，卫生院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1397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张，社区卫生服务中心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254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年末全市各类体育场地186个。其中，乡镇体育健身场所8个，村级农民体育健身场所177个。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、人民生活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社会保障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年末常住人口110.6万人，其中，城镇67.06万人，乡村43.54万人，城镇化率达到60.63%。年末总户数42.09万户，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增长0.01%；户籍人口150.96万人，下降0.4%。全年出生人口7042人，出生率为4.66‰;死亡人口5159人，死亡率为3.42‰，人口自然增长率为1.24‰。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41080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%；农村常住居民人均可支配收入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24620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，增长8.9%；城镇居民人均消费支出24867元,增长3.4%；农村居民人均消费支出15321元，增长7.1%。</w:t>
      </w:r>
    </w:p>
    <w:tbl>
      <w:tblPr>
        <w:tblStyle w:val="9"/>
        <w:tblW w:w="83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667"/>
        <w:gridCol w:w="983"/>
        <w:gridCol w:w="161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  2022年全市居民人均消费支出及构成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城镇居民人均消费支出（元）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农村居民人均消费支出（元）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增速（%)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一、消费支出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24867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15321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（一）食品烟酒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7671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4753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（二）衣着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1437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（三）居住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3112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（四）生活用品及服务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1117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（五）交通通信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3702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1139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（六）教育文化娱乐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3044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1788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（七）医疗保健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2484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（八）其他用品和服务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年末全市已参加养老保险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万人。其中，城镇职工参加基本养老保险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万人，城镇离退休人员养老保险参保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万人，参加城乡居民养老保险人数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万人。参加职工基本医疗保险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万人；参加城乡居民基本医疗保险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117.28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万人；参加生育保险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12月末，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城镇新增就业人员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城镇登记失业率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为3.92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居民最低生活保障已保人数为29196人，其中，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为11923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人。社会福利事业不断发展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社会福利收养性单位28个，收养性单位床位数3220张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十一、资源、环境、公共安全和应急管理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市造林绿化面积3.2万亩，建成区绿化覆盖面积2761.6公顷，比上年增长10.4%，建成区绿化覆盖率达41.2%，空气质量优良率77.5%；地表水达到或好于Ⅲ类水体比例为100%，地表水质量改善指数为1.25，细颗粒物（PM2.5）平均浓度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40.5微克／立方米。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全年各类生产安全事故45起，比上年增长45.2%；死亡47人，增长34.3%。治安案件受理数13907起，增长7.6%；治安案件查处数7121起，增长23.1%。交通事故发生数26263起，下降1.7%；死亡人数144人，增长7.5%。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1.本公报部分数据为初步统计数，部分数据因四舍五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入的原因，存在着与分项合计不等的情况。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2.地区生产总值（GDP）、各产业增加值绝对数按现行价格计算，增长速度按不变价格计算。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3.数据来源：本公报中数据来源于各市直部门，总户数、人口数据来自公安局；城镇新增就业、城镇登记失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率、养老保险、失业保险数据来自人社局；医疗保险数据来自医保局；外贸数据来自商务局；市场主体、专利授权数据来自市场监督管理局；财政、金融数据来自财政局、人民银行；公共安全、应急数据来自公安局、应急管理局；城乡低保数据来自民政局；环境数据来自生态环境局；林业数据来自林业事业发展中心；文化、旅游、科技、卫生、教育、体育数据来自文广新局、科技局、卫健委、教育局、体育事业发展中心；交通、邮电数据来自交通运输局、邮政分公司、江汉移动公司、仙桃联通公司、电信分公司、湖北广电网络仙桃分公司。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WJlOWJiOGYxNjRkOTk0NjhkYTE3ODE0OTE3MDMifQ=="/>
  </w:docVars>
  <w:rsids>
    <w:rsidRoot w:val="00172A27"/>
    <w:rsid w:val="012F5F9F"/>
    <w:rsid w:val="015B4120"/>
    <w:rsid w:val="022A4E21"/>
    <w:rsid w:val="02920608"/>
    <w:rsid w:val="02F13FF2"/>
    <w:rsid w:val="05930FA6"/>
    <w:rsid w:val="07C60EF0"/>
    <w:rsid w:val="083F5029"/>
    <w:rsid w:val="093B4FBA"/>
    <w:rsid w:val="0A202D6A"/>
    <w:rsid w:val="0A2B2A60"/>
    <w:rsid w:val="0B971483"/>
    <w:rsid w:val="0C0369A6"/>
    <w:rsid w:val="0CF05D2C"/>
    <w:rsid w:val="0DD158AD"/>
    <w:rsid w:val="0EE06342"/>
    <w:rsid w:val="0F963071"/>
    <w:rsid w:val="0FD348E1"/>
    <w:rsid w:val="10CA4FC8"/>
    <w:rsid w:val="10EE2009"/>
    <w:rsid w:val="112430E7"/>
    <w:rsid w:val="11F13A19"/>
    <w:rsid w:val="12B82C3D"/>
    <w:rsid w:val="16DB1C34"/>
    <w:rsid w:val="18A867D1"/>
    <w:rsid w:val="1A2069A5"/>
    <w:rsid w:val="1A490563"/>
    <w:rsid w:val="1D3654AE"/>
    <w:rsid w:val="1D8F1A5E"/>
    <w:rsid w:val="1DA00A6A"/>
    <w:rsid w:val="1F63002C"/>
    <w:rsid w:val="2062288E"/>
    <w:rsid w:val="20D8496C"/>
    <w:rsid w:val="213A656E"/>
    <w:rsid w:val="21782E2A"/>
    <w:rsid w:val="21EA4182"/>
    <w:rsid w:val="222751D1"/>
    <w:rsid w:val="248F6BD1"/>
    <w:rsid w:val="26117B5D"/>
    <w:rsid w:val="27FC156C"/>
    <w:rsid w:val="28D00FAC"/>
    <w:rsid w:val="29194CBB"/>
    <w:rsid w:val="291D3575"/>
    <w:rsid w:val="297A3FA6"/>
    <w:rsid w:val="29EE1197"/>
    <w:rsid w:val="2ACF013F"/>
    <w:rsid w:val="2B9C0F0B"/>
    <w:rsid w:val="2BC11C1E"/>
    <w:rsid w:val="2BD9366D"/>
    <w:rsid w:val="2CE11F94"/>
    <w:rsid w:val="2D3B69B6"/>
    <w:rsid w:val="2FEB6259"/>
    <w:rsid w:val="31C14B20"/>
    <w:rsid w:val="32433370"/>
    <w:rsid w:val="32E46701"/>
    <w:rsid w:val="336F081F"/>
    <w:rsid w:val="3419350A"/>
    <w:rsid w:val="344F24A5"/>
    <w:rsid w:val="34961C1B"/>
    <w:rsid w:val="34A35D81"/>
    <w:rsid w:val="35467662"/>
    <w:rsid w:val="35DC5319"/>
    <w:rsid w:val="37192788"/>
    <w:rsid w:val="380E7FFF"/>
    <w:rsid w:val="3D483969"/>
    <w:rsid w:val="3D507F16"/>
    <w:rsid w:val="40B35988"/>
    <w:rsid w:val="41240E74"/>
    <w:rsid w:val="41D94225"/>
    <w:rsid w:val="42556736"/>
    <w:rsid w:val="42E859D2"/>
    <w:rsid w:val="4427077C"/>
    <w:rsid w:val="443D5F67"/>
    <w:rsid w:val="4516380B"/>
    <w:rsid w:val="47071ABF"/>
    <w:rsid w:val="47A22EE9"/>
    <w:rsid w:val="47B406E0"/>
    <w:rsid w:val="48622321"/>
    <w:rsid w:val="492A7A33"/>
    <w:rsid w:val="49CA2125"/>
    <w:rsid w:val="4C4A5435"/>
    <w:rsid w:val="4C515898"/>
    <w:rsid w:val="4CCD0D31"/>
    <w:rsid w:val="4D670750"/>
    <w:rsid w:val="4D9D5615"/>
    <w:rsid w:val="4E062933"/>
    <w:rsid w:val="50451587"/>
    <w:rsid w:val="50946EB7"/>
    <w:rsid w:val="51394D11"/>
    <w:rsid w:val="522B7478"/>
    <w:rsid w:val="52AB7255"/>
    <w:rsid w:val="552C79A0"/>
    <w:rsid w:val="59D622E3"/>
    <w:rsid w:val="5AEC664B"/>
    <w:rsid w:val="5BCC4B7E"/>
    <w:rsid w:val="5D4C09AE"/>
    <w:rsid w:val="5D936AA1"/>
    <w:rsid w:val="5DEE753F"/>
    <w:rsid w:val="5EB442D3"/>
    <w:rsid w:val="605A3984"/>
    <w:rsid w:val="610D4B28"/>
    <w:rsid w:val="6160385B"/>
    <w:rsid w:val="623A1BA6"/>
    <w:rsid w:val="62E0477B"/>
    <w:rsid w:val="63362717"/>
    <w:rsid w:val="63CB7638"/>
    <w:rsid w:val="641C6E32"/>
    <w:rsid w:val="649F2F5E"/>
    <w:rsid w:val="666D606B"/>
    <w:rsid w:val="689E42BA"/>
    <w:rsid w:val="69107EE6"/>
    <w:rsid w:val="6B9145AA"/>
    <w:rsid w:val="6BD977C5"/>
    <w:rsid w:val="6D2D321A"/>
    <w:rsid w:val="6F5D14F6"/>
    <w:rsid w:val="71060589"/>
    <w:rsid w:val="731004DD"/>
    <w:rsid w:val="75447A6A"/>
    <w:rsid w:val="75466F99"/>
    <w:rsid w:val="75741832"/>
    <w:rsid w:val="75B457A7"/>
    <w:rsid w:val="75F405F2"/>
    <w:rsid w:val="77950F7E"/>
    <w:rsid w:val="78F108FC"/>
    <w:rsid w:val="793225DA"/>
    <w:rsid w:val="79392418"/>
    <w:rsid w:val="794B21C5"/>
    <w:rsid w:val="799D4281"/>
    <w:rsid w:val="79A11E5C"/>
    <w:rsid w:val="7AE76A15"/>
    <w:rsid w:val="7BD435DC"/>
    <w:rsid w:val="7BD779E8"/>
    <w:rsid w:val="7BE029D3"/>
    <w:rsid w:val="7C6F0456"/>
    <w:rsid w:val="7D493536"/>
    <w:rsid w:val="7DFA12F5"/>
    <w:rsid w:val="7E6C7BC1"/>
    <w:rsid w:val="7E953FEE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4">
    <w:name w:val="heading 3"/>
    <w:basedOn w:val="5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2&#24180;&#32479;&#35745;&#25163;&#20876;\&#22270;%20%202022&#32479;&#35745;&#20844;&#2525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22&#24180;&#32479;&#35745;&#25163;&#20876;\&#22270;%20%202022&#32479;&#35745;&#20844;&#2525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2&#24180;&#32479;&#35745;&#25163;&#20876;\&#22270;%20%202022&#32479;&#35745;&#20844;&#2525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2022&#24180;&#32479;&#35745;&#25163;&#20876;\&#22270;%20%202022&#32479;&#35745;&#20844;&#25253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2022&#24180;&#32479;&#35745;&#25163;&#20876;\&#22270;%20%202022&#32479;&#35745;&#20844;&#252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>
                <a:solidFill>
                  <a:schemeClr val="tx1">
                    <a:lumMod val="65000"/>
                    <a:lumOff val="35000"/>
                  </a:schemeClr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</a:t>
            </a:r>
            <a:r>
              <a:rPr lang="en-US" altLang="zh-CN">
                <a:solidFill>
                  <a:schemeClr val="tx1">
                    <a:lumMod val="65000"/>
                    <a:lumOff val="35000"/>
                  </a:schemeClr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1  2018—2022</a:t>
            </a:r>
            <a:r>
              <a:rPr altLang="en-US">
                <a:solidFill>
                  <a:schemeClr val="tx1">
                    <a:lumMod val="65000"/>
                    <a:lumOff val="35000"/>
                  </a:schemeClr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年全市生产总值及其增速</a:t>
            </a:r>
            <a:endParaRPr lang="en-US" altLang="en-US">
              <a:solidFill>
                <a:schemeClr val="tx1">
                  <a:lumMod val="65000"/>
                  <a:lumOff val="35000"/>
                </a:schemeClr>
              </a:solidFill>
              <a:uFillTx/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48073832840564"/>
          <c:y val="0.015691392243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27222222222222"/>
          <c:y val="0.177083333333333"/>
          <c:w val="0.863027777777778"/>
          <c:h val="0.605648148148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"总量（亿元）"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solidFill>
                <a:srgbClr val="BDD7EE"/>
              </a:solidFill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2022统计公报.xlsx]2021年公报图片'!$A$5:$A$9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2022统计公报.xlsx]2021年公报图片'!$B$5:$B$9</c:f>
              <c:numCache>
                <c:formatCode>0.00_ </c:formatCode>
                <c:ptCount val="5"/>
                <c:pt idx="0">
                  <c:v>800.8</c:v>
                </c:pt>
                <c:pt idx="1" c:formatCode="General">
                  <c:v>868.47</c:v>
                </c:pt>
                <c:pt idx="2" c:formatCode="General">
                  <c:v>827.91</c:v>
                </c:pt>
                <c:pt idx="3">
                  <c:v>929.9</c:v>
                </c:pt>
                <c:pt idx="4" c:formatCode="General">
                  <c:v>1013.14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752213522"/>
        <c:axId val="171428078"/>
      </c:barChart>
      <c:lineChart>
        <c:grouping val="standard"/>
        <c:varyColors val="0"/>
        <c:ser>
          <c:idx val="1"/>
          <c:order val="1"/>
          <c:tx>
            <c:strRef>
              <c:f>"增速（%）"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sq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0354166666666667"/>
                  <c:y val="0.0586872225105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6666666666666"/>
                  <c:y val="0.04513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40393351679553"/>
                  <c:y val="-0.08729627646918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6625"/>
                      <c:h val="0.089120370370370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0320766563662483"/>
                  <c:y val="-0.07747858963986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2669404517454"/>
                  <c:y val="-0.003892060197197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@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2022统计公报.xlsx]2021年公报图片'!$A$5:$A$9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2022统计公报.xlsx]2021年公报图片'!$C$5:$C$9</c:f>
              <c:numCache>
                <c:formatCode>General</c:formatCode>
                <c:ptCount val="5"/>
                <c:pt idx="0">
                  <c:v>8.3</c:v>
                </c:pt>
                <c:pt idx="1">
                  <c:v>7.7</c:v>
                </c:pt>
                <c:pt idx="2">
                  <c:v>-4.3</c:v>
                </c:pt>
                <c:pt idx="3">
                  <c:v>6.3</c:v>
                </c:pt>
                <c:pt idx="4">
                  <c:v>5.3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0479440"/>
        <c:axId val="861645201"/>
      </c:lineChart>
      <c:catAx>
        <c:axId val="75221352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1428078"/>
        <c:crosses val="autoZero"/>
        <c:auto val="1"/>
        <c:lblAlgn val="ctr"/>
        <c:lblOffset val="100"/>
        <c:noMultiLvlLbl val="0"/>
      </c:catAx>
      <c:valAx>
        <c:axId val="17142807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2213522"/>
        <c:crosses val="autoZero"/>
        <c:crossBetween val="between"/>
      </c:valAx>
      <c:catAx>
        <c:axId val="8047944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1645201"/>
        <c:crosses val="autoZero"/>
        <c:auto val="1"/>
        <c:lblAlgn val="ctr"/>
        <c:lblOffset val="100"/>
        <c:noMultiLvlLbl val="0"/>
      </c:catAx>
      <c:valAx>
        <c:axId val="861645201"/>
        <c:scaling>
          <c:orientation val="minMax"/>
          <c:max val="20"/>
          <c:min val="-5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479440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896547858716"/>
          <c:y val="0.888687078360145"/>
          <c:w val="0.459411362080767"/>
          <c:h val="0.10352880124545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2 2018—2022</a:t>
            </a: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年全市地区生产总值构成</a:t>
            </a:r>
            <a:endParaRPr lang="en-US" altLang="zh-CN"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86503067484663"/>
          <c:y val="0.031628887717448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0555555555556"/>
          <c:y val="0.160095263297168"/>
          <c:w val="0.894638888888889"/>
          <c:h val="0.6351944958983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"第一产业（%）"</c:f>
              <c:strCache>
                <c:ptCount val="1"/>
                <c:pt idx="0">
                  <c:v>第一产业（%）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.0020833333333333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2022统计公报.xlsx]2021年公报图片'!$A$22:$A$26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2022统计公报.xlsx]2021年公报图片'!$B$22:$B$26</c:f>
              <c:numCache>
                <c:formatCode>General</c:formatCode>
                <c:ptCount val="5"/>
                <c:pt idx="0">
                  <c:v>10.9</c:v>
                </c:pt>
                <c:pt idx="1">
                  <c:v>10.7</c:v>
                </c:pt>
                <c:pt idx="2">
                  <c:v>11.7</c:v>
                </c:pt>
                <c:pt idx="3">
                  <c:v>12.8</c:v>
                </c:pt>
                <c:pt idx="4">
                  <c:v>12.1</c:v>
                </c:pt>
              </c:numCache>
            </c:numRef>
          </c:val>
        </c:ser>
        <c:ser>
          <c:idx val="1"/>
          <c:order val="1"/>
          <c:tx>
            <c:strRef>
              <c:f>"第二产业（%）"</c:f>
              <c:strCache>
                <c:ptCount val="1"/>
                <c:pt idx="0">
                  <c:v>第二产业（%）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2022统计公报.xlsx]2021年公报图片'!$A$22:$A$26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2022统计公报.xlsx]2021年公报图片'!$C$22:$C$26</c:f>
              <c:numCache>
                <c:formatCode>General</c:formatCode>
                <c:ptCount val="5"/>
                <c:pt idx="0">
                  <c:v>46.1</c:v>
                </c:pt>
                <c:pt idx="1">
                  <c:v>46.1</c:v>
                </c:pt>
                <c:pt idx="2">
                  <c:v>43.2</c:v>
                </c:pt>
                <c:pt idx="3">
                  <c:v>42.7</c:v>
                </c:pt>
                <c:pt idx="4">
                  <c:v>45.6</c:v>
                </c:pt>
              </c:numCache>
            </c:numRef>
          </c:val>
        </c:ser>
        <c:ser>
          <c:idx val="2"/>
          <c:order val="2"/>
          <c:tx>
            <c:strRef>
              <c:f>"第三产业（%）"</c:f>
              <c:strCache>
                <c:ptCount val="1"/>
                <c:pt idx="0">
                  <c:v>第三产业（%）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2022统计公报.xlsx]2021年公报图片'!$A$22:$A$26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2022统计公报.xlsx]2021年公报图片'!$D$22:$D$26</c:f>
              <c:numCache>
                <c:formatCode>General</c:formatCode>
                <c:ptCount val="5"/>
                <c:pt idx="0">
                  <c:v>43.1</c:v>
                </c:pt>
                <c:pt idx="1">
                  <c:v>43.2</c:v>
                </c:pt>
                <c:pt idx="2">
                  <c:v>45.1</c:v>
                </c:pt>
                <c:pt idx="3">
                  <c:v>44.5</c:v>
                </c:pt>
                <c:pt idx="4">
                  <c:v>42.3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8893684"/>
        <c:axId val="733342333"/>
      </c:barChart>
      <c:catAx>
        <c:axId val="488936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3342333"/>
        <c:crosses val="autoZero"/>
        <c:auto val="1"/>
        <c:lblAlgn val="ctr"/>
        <c:lblOffset val="100"/>
        <c:noMultiLvlLbl val="0"/>
      </c:catAx>
      <c:valAx>
        <c:axId val="733342333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8936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2361111111111"/>
          <c:y val="0.903413601481874"/>
          <c:w val="0.616944444444444"/>
          <c:h val="0.086266207991532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3 2018—2022</a:t>
            </a: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年全市</a:t>
            </a: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规模以上工业增加值增速</a:t>
            </a:r>
            <a:endParaRPr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07013888888889"/>
          <c:y val="0.03418803418803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'[图  2022统计公报.xlsx]2021年公报图片'!$B$36</c:f>
              <c:strCache>
                <c:ptCount val="1"/>
                <c:pt idx="0">
                  <c:v>规模以上工业增加值增速</c:v>
                </c:pt>
              </c:strCache>
            </c:strRef>
          </c:tx>
          <c:spPr>
            <a:ln w="28575" cap="rnd">
              <a:solidFill>
                <a:srgbClr val="FE9B1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D5C0C"/>
              </a:solidFill>
              <a:ln w="9525">
                <a:solidFill>
                  <a:srgbClr val="F9680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0104166666666667"/>
                  <c:y val="-0.02083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875"/>
                  <c:y val="-0.03472222222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125"/>
                  <c:y val="-0.05208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833333333333333"/>
                  <c:y val="-0.04513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16666666666667"/>
                  <c:y val="-0.06944444444444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'[图  2022统计公报.xlsx]2021年公报图片'!$A$36:$A$42</c15:sqref>
                  </c15:fullRef>
                </c:ext>
              </c:extLst>
              <c:f>'[图  2022统计公报.xlsx]2021年公报图片'!$A$38:$A$42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'2021年公报图片'!$B$36:$B$42</c15:sqref>
                  </c15:fullRef>
                </c:ext>
              </c:extLst>
              <c:f>'[图  2022统计公报.xlsx]2021年公报图片'!$B$38:$B$42</c:f>
              <c:numCache>
                <c:formatCode>0.0_ </c:formatCode>
                <c:ptCount val="5"/>
                <c:pt idx="0">
                  <c:v>8.4</c:v>
                </c:pt>
                <c:pt idx="1">
                  <c:v>9.4</c:v>
                </c:pt>
                <c:pt idx="2">
                  <c:v>-3.8</c:v>
                </c:pt>
                <c:pt idx="3">
                  <c:v>-7.9</c:v>
                </c:pt>
                <c:pt idx="4">
                  <c:v>11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7324788"/>
        <c:axId val="243315772"/>
      </c:lineChart>
      <c:dateAx>
        <c:axId val="947324788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3315772"/>
        <c:crosses val="autoZero"/>
        <c:auto val="0"/>
        <c:lblAlgn val="ctr"/>
        <c:lblOffset val="100"/>
        <c:baseTimeUnit val="days"/>
      </c:dateAx>
      <c:valAx>
        <c:axId val="2433157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7324788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4 2022</a:t>
            </a: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年全市三次产业投资占固定资产投资比重</a:t>
            </a:r>
            <a:endParaRPr lang="en-US" altLang="zh-CN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9050" cap="rnd">
              <a:solidFill>
                <a:schemeClr val="lt1"/>
              </a:solidFill>
            </a:ln>
          </c:spPr>
          <c:explosion val="1"/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829601381306951"/>
                  <c:y val="0.099846246933793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仿宋_GB2312" panose="02010609030101010101" charset="-122"/>
                        <a:ea typeface="仿宋_GB2312" panose="02010609030101010101" charset="-122"/>
                        <a:cs typeface="仿宋_GB2312" panose="02010609030101010101" charset="-122"/>
                        <a:sym typeface="仿宋_GB2312" panose="02010609030101010101" charset="-122"/>
                      </a:defRPr>
                    </a:pPr>
                    <a:r>
                      <a:rPr>
                        <a:latin typeface="仿宋_GB2312" panose="02010609030101010101" charset="-122"/>
                        <a:ea typeface="仿宋_GB2312" panose="02010609030101010101" charset="-122"/>
                        <a:cs typeface="仿宋_GB2312" panose="02010609030101010101" charset="-122"/>
                        <a:sym typeface="仿宋_GB2312" panose="02010609030101010101" charset="-122"/>
                      </a:rPr>
                      <a:t>第一产业2.0%</a:t>
                    </a:r>
                    <a:endParaRPr>
                      <a:latin typeface="仿宋_GB2312" panose="02010609030101010101" charset="-122"/>
                      <a:ea typeface="仿宋_GB2312" panose="02010609030101010101" charset="-122"/>
                      <a:cs typeface="仿宋_GB2312" panose="02010609030101010101" charset="-122"/>
                      <a:sym typeface="仿宋_GB2312" panose="02010609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82397535321931"/>
                  <c:y val="-0.10730960530737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仿宋_GB2312" panose="02010609030101010101" charset="-122"/>
                        <a:ea typeface="仿宋_GB2312" panose="02010609030101010101" charset="-122"/>
                        <a:cs typeface="仿宋_GB2312" panose="02010609030101010101" charset="-122"/>
                        <a:sym typeface="仿宋_GB2312" panose="02010609030101010101" charset="-122"/>
                      </a:defRPr>
                    </a:pPr>
                    <a:r>
                      <a:rPr>
                        <a:sym typeface="仿宋_GB2312" panose="02010609030101010101" charset="-122"/>
                      </a:rPr>
                      <a:t>第二产业49.6%</a:t>
                    </a:r>
                    <a:endParaRPr>
                      <a:sym typeface="仿宋_GB2312" panose="02010609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3815707957011"/>
                  <c:y val="0.18063685756896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仿宋_GB2312" panose="02010609030101010101" charset="-122"/>
                        <a:ea typeface="仿宋_GB2312" panose="02010609030101010101" charset="-122"/>
                        <a:cs typeface="仿宋_GB2312" panose="02010609030101010101" charset="-122"/>
                        <a:sym typeface="仿宋_GB2312" panose="02010609030101010101" charset="-122"/>
                      </a:defRPr>
                    </a:pPr>
                    <a:r>
                      <a:rPr>
                        <a:latin typeface="仿宋_GB2312" panose="02010609030101010101" charset="-122"/>
                        <a:ea typeface="仿宋_GB2312" panose="02010609030101010101" charset="-122"/>
                        <a:cs typeface="仿宋_GB2312" panose="02010609030101010101" charset="-122"/>
                        <a:sym typeface="仿宋_GB2312" panose="02010609030101010101" charset="-122"/>
                      </a:rPr>
                      <a:t>第三产业48.4%</a:t>
                    </a:r>
                    <a:endParaRPr>
                      <a:latin typeface="仿宋_GB2312" panose="02010609030101010101" charset="-122"/>
                      <a:ea typeface="仿宋_GB2312" panose="02010609030101010101" charset="-122"/>
                      <a:cs typeface="仿宋_GB2312" panose="02010609030101010101" charset="-122"/>
                      <a:sym typeface="仿宋_GB2312" panose="02010609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2022统计公报.xlsx]2021年公报图片'!$A$82:$A$84</c:f>
              <c:strCache>
                <c:ptCount val="3"/>
                <c:pt idx="0">
                  <c:v>第一产业（%）</c:v>
                </c:pt>
                <c:pt idx="1">
                  <c:v>第二产业（%）</c:v>
                </c:pt>
                <c:pt idx="2">
                  <c:v>第三产业（%）</c:v>
                </c:pt>
              </c:strCache>
            </c:strRef>
          </c:cat>
          <c:val>
            <c:numRef>
              <c:f>'[图  2022统计公报.xlsx]2021年公报图片'!$B$82:$B$84</c:f>
              <c:numCache>
                <c:formatCode>0.0%</c:formatCode>
                <c:ptCount val="3"/>
                <c:pt idx="0">
                  <c:v>0.02</c:v>
                </c:pt>
                <c:pt idx="1">
                  <c:v>0.496</c:v>
                </c:pt>
                <c:pt idx="2">
                  <c:v>0.484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4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>
          <a:latin typeface="仿宋_GB2312" panose="02010609030101010101" charset="-122"/>
          <a:ea typeface="仿宋_GB2312" panose="02010609030101010101" charset="-122"/>
          <a:cs typeface="仿宋_GB2312" panose="02010609030101010101" charset="-122"/>
          <a:sym typeface="仿宋_GB2312" panose="02010609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</a:t>
            </a:r>
            <a:r>
              <a:rPr lang="en-US" altLang="zh-CN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5 2018-2022</a:t>
            </a:r>
            <a:r>
              <a:rPr altLang="en-US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年全市社会消费品零售总额及增速</a:t>
            </a:r>
            <a:endParaRPr lang="en-US" altLang="zh-CN"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12465410462512"/>
          <c:y val="0.02777134922471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2022统计公报.xlsx]2021年公报图片'!$A$57:$A$61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2022统计公报.xlsx]2021年公报图片'!$B$57:$B$61</c:f>
              <c:numCache>
                <c:formatCode>General</c:formatCode>
                <c:ptCount val="5"/>
                <c:pt idx="0">
                  <c:v>398.7</c:v>
                </c:pt>
                <c:pt idx="1">
                  <c:v>445.2</c:v>
                </c:pt>
                <c:pt idx="2">
                  <c:v>381.93</c:v>
                </c:pt>
                <c:pt idx="3">
                  <c:v>482.02</c:v>
                </c:pt>
                <c:pt idx="4">
                  <c:v>498.32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759197"/>
        <c:axId val="122761975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0.04778156996587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377358490566038"/>
                  <c:y val="0.04436860068259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188679245283019"/>
                  <c:y val="0.05119453924914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67409551795871"/>
                  <c:y val="-0.01051754971474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2022统计公报.xlsx]2021年公报图片'!$A$57:$A$61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'[图  2022统计公报.xlsx]2021年公报图片'!$C$57:$C$61</c:f>
              <c:numCache>
                <c:formatCode>General</c:formatCode>
                <c:ptCount val="5"/>
                <c:pt idx="0">
                  <c:v>12.2</c:v>
                </c:pt>
                <c:pt idx="1">
                  <c:v>11.7</c:v>
                </c:pt>
                <c:pt idx="2">
                  <c:v>-14.2</c:v>
                </c:pt>
                <c:pt idx="3">
                  <c:v>26.2</c:v>
                </c:pt>
                <c:pt idx="4">
                  <c:v>3.4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0027452"/>
        <c:axId val="923977418"/>
      </c:lineChart>
      <c:catAx>
        <c:axId val="5167591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2761975"/>
        <c:crosses val="autoZero"/>
        <c:auto val="1"/>
        <c:lblAlgn val="ctr"/>
        <c:lblOffset val="100"/>
        <c:noMultiLvlLbl val="0"/>
      </c:catAx>
      <c:valAx>
        <c:axId val="122761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759197"/>
        <c:crosses val="autoZero"/>
        <c:crossBetween val="between"/>
      </c:valAx>
      <c:catAx>
        <c:axId val="34002745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3977418"/>
        <c:crosses val="autoZero"/>
        <c:auto val="1"/>
        <c:lblAlgn val="ctr"/>
        <c:lblOffset val="100"/>
        <c:noMultiLvlLbl val="0"/>
      </c:catAx>
      <c:valAx>
        <c:axId val="92397741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0027452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4392</Words>
  <Characters>5898</Characters>
  <Lines>0</Lines>
  <Paragraphs>0</Paragraphs>
  <TotalTime>0</TotalTime>
  <ScaleCrop>false</ScaleCrop>
  <LinksUpToDate>false</LinksUpToDate>
  <CharactersWithSpaces>6066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2023-02-03T07:00:00Z</dcterms:created>
  <dc:creator>Amingming</dc:creator>
  <cp:lastModifiedBy>马明</cp:lastModifiedBy>
  <dcterms:modified xsi:type="dcterms:W3CDTF">2023-04-25T09:45:10Z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1ADE5AE0B065468EBEE958F0A5A31E10</vt:lpwstr>
  </property>
</Properties>
</file>