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潜江市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2022年国民经济和社会发展统计公报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2022年，潜江市上下坚持以习近平新时代中国特色社会主义思想为指导，坚持稳中求进工作总基调，立足新发展阶段，完整准确全面贯彻新发展理念，积极融入新发展格局，坚决落实“疫情要防住、经济要稳住、发展要安全”重要要求，高效统筹疫情防控和经济社会发展，建设四化同步发展示范区迈稳第一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经济大盘整体稳定，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高质量发展韧性持续显现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一、综合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初步核算，2022年，全市生产总值为886.65亿元，按可比价格计算，比上年增长2.6%。其中，第一产业增加值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zh-CN" w:eastAsia="zh-CN"/>
        </w:rPr>
        <w:t>100.08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亿元，增长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zh-CN" w:eastAsia="zh-CN"/>
        </w:rPr>
        <w:t>2.8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%；第二产业增加值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zh-CN" w:eastAsia="zh-CN"/>
        </w:rPr>
        <w:t>379.93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亿元，增长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zh-CN" w:eastAsia="zh-CN"/>
        </w:rPr>
        <w:t>2.6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%；第三产业增加值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zh-CN" w:eastAsia="zh-CN"/>
        </w:rPr>
        <w:t>406.64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亿元，增长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zh-CN" w:eastAsia="zh-CN"/>
        </w:rPr>
        <w:t>2.6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%。三次产业结构由2021年的11.6:42.5:45.9调整为11.3：42.8：45.9。在第三产业中，交通运输仓储和邮政业、批发和零售业、住宿和餐饮业、金融业、房地产业、其他服务业增加值分别增长-1.4%、3.4%、1.5%、11.8%、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3.8%、6.2%。人均地区生产总值为104842元。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drawing>
          <wp:inline distT="0" distB="0" distL="114300" distR="114300">
            <wp:extent cx="5614670" cy="3398520"/>
            <wp:effectExtent l="0" t="0" r="5080" b="0"/>
            <wp:docPr id="2" name="图片 2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3810</wp:posOffset>
            </wp:positionV>
            <wp:extent cx="5601970" cy="3298190"/>
            <wp:effectExtent l="0" t="0" r="0" b="0"/>
            <wp:wrapNone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1970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全年新登记市场主体24299户，比上年增长56.31%。全市市场主体达到101502户，增长20.9%。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全年城镇新增就业0.91万人，超额完成全年目标任务。年末全市城镇登记失业率为2.5%。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二、农业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全年全市农林牧渔业增加值106.94亿元，比上年增长3.4%。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全年粮食播种面积152.97万亩，比上年增长0.1%。其中，中稻种植面积88.75万亩，减少0.4%;小麦种植面积41.43万亩,增长2.0%;玉米种植面积3.81万亩，增长9.5%;大豆种植面积16.78万亩，增长4.0%。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71755</wp:posOffset>
            </wp:positionV>
            <wp:extent cx="4803775" cy="3023870"/>
            <wp:effectExtent l="0" t="0" r="0" b="0"/>
            <wp:wrapNone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3775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全年油料产量4.87万吨，比上年增长6.9%；园林水果产量5.95万吨，增长2.8%；蔬菜及食用菌产量93.29万吨，增长0.2%。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全年粮食总产量59.29万吨，比上年减少0.6%。其中，中稻产量47.55万吨,减少1.3%;小麦产量8.51万吨，增长2.0%;玉米产量1.12万吨，增长4.5%;大豆产量1.63万吨，减少0.6%。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全市生猪出栏59万头，比上年增长1.8%;牛出栏1.46万头，增长1.7%;羊出栏1.23万只，减少5.8%;家禽出栏1023.2万只，增长0.8%;禽蛋产量2.59万吨，减少2.1%。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全年水产品产量16.16万吨，比上年增长3.6%。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5"/>
        <w:tblW w:w="9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4"/>
        <w:gridCol w:w="2806"/>
        <w:gridCol w:w="2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表1    2022年全市主要农产品产量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单位：万吨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产量</w:t>
            </w:r>
          </w:p>
        </w:tc>
        <w:tc>
          <w:tcPr>
            <w:tcW w:w="2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比上年增长（%）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80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粮食</w:t>
            </w:r>
          </w:p>
        </w:tc>
        <w:tc>
          <w:tcPr>
            <w:tcW w:w="28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59.29</w:t>
            </w:r>
          </w:p>
        </w:tc>
        <w:tc>
          <w:tcPr>
            <w:tcW w:w="26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-0.6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80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棉花</w:t>
            </w:r>
          </w:p>
        </w:tc>
        <w:tc>
          <w:tcPr>
            <w:tcW w:w="28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0.13</w:t>
            </w:r>
          </w:p>
        </w:tc>
        <w:tc>
          <w:tcPr>
            <w:tcW w:w="26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80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油料</w:t>
            </w:r>
          </w:p>
        </w:tc>
        <w:tc>
          <w:tcPr>
            <w:tcW w:w="28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4.87</w:t>
            </w:r>
          </w:p>
        </w:tc>
        <w:tc>
          <w:tcPr>
            <w:tcW w:w="26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80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#油菜籽</w:t>
            </w:r>
          </w:p>
        </w:tc>
        <w:tc>
          <w:tcPr>
            <w:tcW w:w="28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4.28</w:t>
            </w:r>
          </w:p>
        </w:tc>
        <w:tc>
          <w:tcPr>
            <w:tcW w:w="26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80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园林水果（不含果用瓜）</w:t>
            </w:r>
          </w:p>
        </w:tc>
        <w:tc>
          <w:tcPr>
            <w:tcW w:w="280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5.95</w:t>
            </w:r>
          </w:p>
        </w:tc>
        <w:tc>
          <w:tcPr>
            <w:tcW w:w="26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8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蔬菜及食用菌</w:t>
            </w:r>
          </w:p>
        </w:tc>
        <w:tc>
          <w:tcPr>
            <w:tcW w:w="28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93.29</w:t>
            </w:r>
          </w:p>
        </w:tc>
        <w:tc>
          <w:tcPr>
            <w:tcW w:w="2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0.2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三、工业和建筑业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末全市规模以上工业企业达到280家。全年规模以上工业增加值比上年下降3.3%。分经济类型看，国有控股企业增长0%，股份制企业下降2.0%，外商及港澳台投资企业下降25.1%，民营企业下降2.7%。轻工业下降15.4%，重工业增长4.2%。分门类看，采矿业下降1.0%，制造业下降4.4%，电力、热力、燃气及水生产和供应业增长34.0%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全年高技术制造业增加值比上年增长7.5%，增速快于规模以上工业10.8个百分点，占规模以上工业增加值的比重达6.3%。其中，计算机、通信和其他电子设备制造业增长502.4%。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全年规模以上工业销售产值比上年增长6.1%，产品销售率为98.4%，出口交货值下降12.1%。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tbl>
      <w:tblPr>
        <w:tblStyle w:val="5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5"/>
        <w:gridCol w:w="1551"/>
        <w:gridCol w:w="1551"/>
        <w:gridCol w:w="18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表2  2022年全市规上工业主要产品产量及其增速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产量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比上年增长（%）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原油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万吨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53.7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天然气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万立方米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13836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液化石油气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万吨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15.2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原油加工量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万吨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245.7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汽油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万吨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38.6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-9.5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万吨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121.7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口罩◇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万个(只)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330282.2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1323.1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绝缘制品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吨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13371.4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-2.6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服装◆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万件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3722.8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-16.0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光纤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万千米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3305.5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石油钻井设备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台（套）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666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环境污染防治专用设备◆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台（套）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456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-60.4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万立方米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164.9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-26.9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天然大理石建筑板材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万立方米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155.6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大米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万吨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58.0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精甲醇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万吨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54.4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-30.2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合成氨（无水氨）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万吨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47.5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-4.6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表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万只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98.4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金属切削工具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万件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64.3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农用氮、磷、钾化学肥料（折纯）◆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万吨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25.4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冷冻水产品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万吨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25.3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87.4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烧碱（折100％）◇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万吨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25.1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-2.3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水泥◇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万吨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17.6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2.3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全年具有总承包和专业承包资质建筑企业完成总产值169.53亿元，比上年增长10.5%。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四、固定资产投资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全年全市完成固定资产投资(不含农户) 比上年增长4.6%。按产业划分，一、二、三次产业投资分别增长4.1%、1.1%、8.9%。分领域看，基础设施投资、工业投资和房地产开发投资分别增长11.7%、2.7%和7.2%。高技术制造业投资下降26.8%。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全年商品房销售面积53.82万平方米，比上年下降4.5%；实现商品房销售额30.24亿元，下降8.4%。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全年亿元以上新开工项目88个（不含房地产项目），比上年增长10.0%，亿元以上新开工项目（不含房地产项目）完成投资额增长24.3%。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50165</wp:posOffset>
            </wp:positionV>
            <wp:extent cx="5611495" cy="3227070"/>
            <wp:effectExtent l="0" t="0" r="0" b="0"/>
            <wp:wrapNone/>
            <wp:docPr id="4" name="图片 4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五、国内贸易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2022年全市社会消费品零售总额315.46亿元，比上年增长3.0%。按经营地统计，城镇限额以上单位零售额增长17.7%；乡村限额以上单位零售额增长34.4%。按消费类型统计，限额以上单位商品零售额增长19.1%；餐饮收入增长11.6%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981710</wp:posOffset>
            </wp:positionH>
            <wp:positionV relativeFrom="paragraph">
              <wp:posOffset>130810</wp:posOffset>
            </wp:positionV>
            <wp:extent cx="5596255" cy="3584575"/>
            <wp:effectExtent l="0" t="0" r="0" b="0"/>
            <wp:wrapNone/>
            <wp:docPr id="8" name="图片 8" descr="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6255" cy="358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全年限额以上单位通过公共网络实现的商品零售额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增长73.7%，占全市限额以上商品零售额的比重较上年提高0.9个百分点。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六、对外经济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全年全市货物进出口总额138亿元，比上年增长56.8%，其中，进口119.6亿元，增长67.8%；出口18.4亿元，增长10.2%。全市对前三大贸易伙伴非洲、俄罗斯、巴西进出口额分别为46.8亿元、36.5亿元和15.7亿元，共实现进出口额99亿元，同比增长40.6%。全市对RCEP成员国进出口额6.1亿元，增长23.7%，占比为4.4%；对“一带一路”沿线国家进出口额58亿元，增长1775.4%，占比为42%。全年新设立外商投资项目2个。实际利用外资（FDI）1106万美元，比上年增长124.3%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七、交通运输和邮电通信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年末全市公路总里程达3945公里（含高速公路里程76公里），比上年末增长3.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全年完成货物周转量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298215.2万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吨公里，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下降5.8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旅客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运输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周转量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1083.55万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人公里，下降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68.4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完成港口货物吞吐量111.78万吨，增长63.6%。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全年完成社会物流总额2021亿元，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增长6.5%；物流总费用125亿元，增长4%；物流业总收入93.08亿元，增长6%；物流总费用与GDP的比率为14.1%；邮政行业业务总量4.64亿元，增长12.4%；其中，快递业务量2339.11万件，增长24.6%。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全年完成电信业务总量7.06亿元，比上年增长26.1%。长途光缆线路总长度达到878公里；固定电话用户3.9万户；移动电话用户91.7万户；移动电话普及率为109.8部/百人；固定互联网宽带接入用户32.8万户，比上年增长10.1%;移动互联网用户接入流量1.09亿GB，增长17.6%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八、财政和金融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全年全市完成财政总收入47.44亿元，比上年增长15.3%。其中地方一般公共预算收入27.32亿元，剔除增值税留抵退税因素，可比增长10.1%。在地方一般公共预算收入中，税收收入20.41亿元，可比增长10.4%。地方一般公共预算支出80.57亿元，增长20.5%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末全市金融机构本外币各项存款余额960.62亿元，比年初增加107.35亿元。其中，住户存款734.14亿元，增加117.51亿元。金融机构本外币各项贷款余额508.69亿元，比年初增加97.95亿元。其中，住户贷款169.46亿元，增加25.39亿元；非金融企业及机关团体贷款339.23亿元，增加72.56亿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全年实现保费收入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25.62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亿元，比上年增长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11.3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%。其中，财产险保费收入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6.95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亿元，增长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15.2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%；人身险保费收入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18.67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亿元，增长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9.9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%。支付各类赔款及给付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8.53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亿元，增长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0.8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%，其中，财产险赔付支出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4.34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亿元，增长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20.0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%；人身险赔付支出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4.19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亿元，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下降13.5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教育和科学技术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全市2022年普通高等教育专科招生3977人、各类中等职业教育招生1780人、普通高中招生5035人、普通初中在校生27271人、小学在校生50756人、幼儿园在园幼儿22586人。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全年共登记重大科技成果7项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全部为应用技术成果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。全年共签订技术合同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689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项，技术合同成交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金额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30.05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技术合同成交额同比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速172.4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年末全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共建有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家省级工程研究中心，8家省级企业技术中心。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年末全市共有检验检测机构30个，省级质检中心2个，颁发有效认证证书495张，获认证证书组织206 家。建立社会公用计量标准7个。全年强制检定计量器具4.6万台件。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年末全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市共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有天气雷达观测站点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个。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十、文化、卫生和体育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年末全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共有国有艺术表演团体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个，群艺馆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个，公共图书馆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个，博物馆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个。有线电视用户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16.52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万户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有线电视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覆盖率为99.9%。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潜江日报社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全年出版报纸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429.48万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份。规模以上文化及相关产业企业营业收入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14.46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下降12.4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全市共有医疗卫生机构678家，其中医院12家，基层医疗卫生机构657家，专业公共卫生机构6家，其他卫生机构3家；共有卫生技术人员6652人（不包含管理、工勤及其他技术人员），其中执业(助理)医师2686人，注册护士2891人；全市共有医疗卫生机构床位5712张，其中医院床位3888张，社区卫生服务机构床位155张，卫生院床位1440张。全年总诊疗人次553.3824万人次（不包含核酸检测人次数），出院人数15.7993万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全年全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市体育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健儿在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湖北省十六运会上夺得13金10银15铜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。全年体育彩票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销量达1.48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十一、人口、居民生活和社会保障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年末全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常住人口85.5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万人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城镇化率达到56.78%。2022年全市出生人口3999人,出生率为4.03‰；死亡人口7702人,死亡率为7.77‰,人口自然增长率为-3.74‰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全年全市城镇常住居民人均可支配收入39167元,比上年增长5.9%;农村常住居民人均可支配收入22922元，增长8.4%。全市城镇人均消费支出23548元，增长2.5%;农村人均消费支出17861元，增长8.1%。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年末全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参加企业职工基本养老保险20.05万人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其中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在职参保人员12.35万人，离退休人员7.7万人；参加城乡居民养老保险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31.69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万人；参加职工基本医疗保险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9.45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万人；参加城乡居民基本医疗保险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71.67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万人；参加生育保险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5.68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万人;参加失业保险人数4.7万人，年末领取失业保险金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人数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412人。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年末全市城镇居民最低生活保障对象4276人，农村居民最低生活保障人数21811人，在册重点优抚对象4853人。养老机构床位数4837张，全年销售社会福利彩票56416154元。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十二、资源环境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和应急管理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全年国有建设用地供应总量517.8720公顷，比上年增长18.6％。全年完成造林面积1114.07公顷，均为人工造林面积。森林抚育面积5453.47公顷。全市现有森林公园、返湾湖国家级湿地公园、借粮湖省级湿地自然公园和湖北潜江汉江省级湿地等自然保护地4个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市纳入国家考核的6个地表水断面考核达标率为100%，纳入省考核的9个地表水断面考核达标率为100%，国控、省控地表水劣Ⅴ类水体断面比例为0；我市环境空气质量优良天数比例82.7%，细颗粒物（PM2.5）年均浓度37微克/立方米，较上年上升15.6%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全市共发生各类生产安全事故40起，死亡人数40人。其中营运道路交通事故33起，死亡人数33人;建筑领域事故5起，死亡人数5人;危化领域事故2起，死亡人数2人。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注释: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1.本公报部分数据为初步统计数，部分数据因四舍五入的原因，存在着与分项合计不等的情况。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2.地区生产总值（GDP）、各产业增加值绝对数按现行价格计算，增长速度按不变价格计算。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2259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/>
          <w:color w:val="auto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A7E5FE"/>
    <w:multiLevelType w:val="singleLevel"/>
    <w:tmpl w:val="7CA7E5FE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NWQ0M2ExNmIzZGE1OTUwYzExMjZiMzA1ZjNkZTkifQ=="/>
  </w:docVars>
  <w:rsids>
    <w:rsidRoot w:val="7059485F"/>
    <w:rsid w:val="01944054"/>
    <w:rsid w:val="02566477"/>
    <w:rsid w:val="03B51601"/>
    <w:rsid w:val="04770389"/>
    <w:rsid w:val="05FB2ABA"/>
    <w:rsid w:val="06F62AEE"/>
    <w:rsid w:val="08660A24"/>
    <w:rsid w:val="0ADD6933"/>
    <w:rsid w:val="0B881576"/>
    <w:rsid w:val="0D7D3AFE"/>
    <w:rsid w:val="0DDD6D83"/>
    <w:rsid w:val="11140D0D"/>
    <w:rsid w:val="113D6398"/>
    <w:rsid w:val="12A163D0"/>
    <w:rsid w:val="14627FE2"/>
    <w:rsid w:val="16370C3B"/>
    <w:rsid w:val="17536547"/>
    <w:rsid w:val="19297320"/>
    <w:rsid w:val="19384AA6"/>
    <w:rsid w:val="1A22449B"/>
    <w:rsid w:val="20670E5A"/>
    <w:rsid w:val="21090163"/>
    <w:rsid w:val="219D0F12"/>
    <w:rsid w:val="227C2CE4"/>
    <w:rsid w:val="23054F35"/>
    <w:rsid w:val="24616047"/>
    <w:rsid w:val="24661428"/>
    <w:rsid w:val="25453733"/>
    <w:rsid w:val="29B9024C"/>
    <w:rsid w:val="2C5B48F4"/>
    <w:rsid w:val="2E1E4B22"/>
    <w:rsid w:val="2E857DAE"/>
    <w:rsid w:val="2F4A4C07"/>
    <w:rsid w:val="302D5890"/>
    <w:rsid w:val="30A9726C"/>
    <w:rsid w:val="32EC5DA2"/>
    <w:rsid w:val="330864CC"/>
    <w:rsid w:val="340452C1"/>
    <w:rsid w:val="351647A5"/>
    <w:rsid w:val="35714319"/>
    <w:rsid w:val="35AB6B1B"/>
    <w:rsid w:val="36794FEB"/>
    <w:rsid w:val="3BE47317"/>
    <w:rsid w:val="3E067AAC"/>
    <w:rsid w:val="3F221A4C"/>
    <w:rsid w:val="425C6539"/>
    <w:rsid w:val="4DA63F9B"/>
    <w:rsid w:val="4DB43081"/>
    <w:rsid w:val="4F07193A"/>
    <w:rsid w:val="52E67747"/>
    <w:rsid w:val="530D6D8F"/>
    <w:rsid w:val="541F321E"/>
    <w:rsid w:val="55B14802"/>
    <w:rsid w:val="55FF2D79"/>
    <w:rsid w:val="56A60E36"/>
    <w:rsid w:val="579D6A47"/>
    <w:rsid w:val="5BB91D5D"/>
    <w:rsid w:val="5BF168A5"/>
    <w:rsid w:val="5CA27FAC"/>
    <w:rsid w:val="5D467A1A"/>
    <w:rsid w:val="5D6A1419"/>
    <w:rsid w:val="5E0A45F7"/>
    <w:rsid w:val="5EAD0156"/>
    <w:rsid w:val="5F285C41"/>
    <w:rsid w:val="63057A83"/>
    <w:rsid w:val="640815D9"/>
    <w:rsid w:val="640F0BB9"/>
    <w:rsid w:val="641348A6"/>
    <w:rsid w:val="670544F5"/>
    <w:rsid w:val="688109F0"/>
    <w:rsid w:val="6A44647B"/>
    <w:rsid w:val="6A75300F"/>
    <w:rsid w:val="6AA81420"/>
    <w:rsid w:val="6AAB0F10"/>
    <w:rsid w:val="6BF40694"/>
    <w:rsid w:val="6DE07298"/>
    <w:rsid w:val="6EC073EE"/>
    <w:rsid w:val="6FF90857"/>
    <w:rsid w:val="7059485F"/>
    <w:rsid w:val="752650F2"/>
    <w:rsid w:val="77040325"/>
    <w:rsid w:val="77DB0360"/>
    <w:rsid w:val="77F35CA4"/>
    <w:rsid w:val="7BCE0F02"/>
    <w:rsid w:val="7C5238E1"/>
    <w:rsid w:val="7FA1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Autospacing="0" w:afterAutospacing="0" w:line="240" w:lineRule="auto"/>
      <w:outlineLvl w:val="0"/>
    </w:pPr>
    <w:rPr>
      <w:rFonts w:ascii="Calibri" w:hAnsi="Calibri" w:cs="Times New Roman"/>
      <w:kern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2 Char Char"/>
    <w:basedOn w:val="1"/>
    <w:qFormat/>
    <w:uiPriority w:val="0"/>
    <w:pPr>
      <w:spacing w:beforeAutospacing="1" w:line="480" w:lineRule="auto"/>
      <w:ind w:left="420" w:leftChars="200"/>
    </w:pPr>
    <w:rPr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3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3828</Words>
  <Characters>5014</Characters>
  <Lines>0</Lines>
  <Paragraphs>0</Paragraphs>
  <TotalTime>3</TotalTime>
  <ScaleCrop>false</ScaleCrop>
  <LinksUpToDate>false</LinksUpToDate>
  <CharactersWithSpaces>5023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2023-03-17T08:06:00Z</dcterms:created>
  <dc:creator>Oilla</dc:creator>
  <cp:lastModifiedBy>刘畅</cp:lastModifiedBy>
  <cp:lastPrinted>2023-05-04T02:53:35Z</cp:lastPrinted>
  <dcterms:modified xsi:type="dcterms:W3CDTF">2023-05-04T07:19:31Z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633344EF7F9249F5B88E86735989717D</vt:lpwstr>
  </property>
</Properties>
</file>