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仙桃市2023年国民经济和社会发展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统计公报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仙桃市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是发展极具挑战、极为艰难的一年，也是顶压前行、踔厉奋发的一年。一年来，全市上下坚持以习近平新时代中国特色社会主义思想为指导，在市委市政府的坚强领导下，全力抵御三重压力，有效稳定经济大盘，整体经济波浪式运行，呈现出恢复向好、稳中有进的良好态势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一、综合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步核算，2023年，仙桃市地区生产总值为1014.33亿元，按不变价格计算，比上年增长4.6%。分产业看，第一产业增加值为117.44亿元，增长2.6%；第二产业增加值为435.66亿元，增长4.1%；第三产业增加值为461.23亿元，增长5.8%。三次产业占比为11.6：43.0：45.4。在第三产业中，农林牧渔专业及辅助性活动、交通运输仓储和邮政业、金融业、营利性服务业、批发和零售业、住宿和餐饮业增加值分别增长9.2%、8.4%、8.1%、7.4%、7.4%、4.4%。人均地区生产总值92245元，比上年增加604元。</w:t>
      </w:r>
    </w:p>
    <w:p>
      <w:pPr>
        <w:ind w:firstLine="40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81550" cy="2764790"/>
            <wp:effectExtent l="5080" t="4445" r="13970" b="1206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90440" cy="2727960"/>
            <wp:effectExtent l="4445" t="4445" r="5715" b="1079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年末拥有各类工商登记市场主体总数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15.03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8.0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新发展市场主体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2.36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%。其中，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新登记企业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13.3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新登记个体户17487户，同比下降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截止到2023年末，全市共有1223家在库“四上”企业，其中规上工业516家，建筑业70家，批发零售业329家，住宿餐饮业138家，房地产业75家，服务业95家。</w:t>
      </w: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二、农业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农林牧渔业总产值完成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204.7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可比价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计算，比上年增长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ind w:firstLine="560" w:firstLineChars="200"/>
        <w:jc w:val="center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表1 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年仙桃市农林牧渔业总产值</w:t>
      </w:r>
    </w:p>
    <w:tbl>
      <w:tblPr>
        <w:tblStyle w:val="7"/>
        <w:tblW w:w="81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432"/>
        <w:gridCol w:w="2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总产值（亿元）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可比价增幅（%）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农林牧渔业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204.70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其中：农业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68.18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2.25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牧业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19.10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渔业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99.76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专业及辅助性活动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15.40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9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全年粮食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种植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177.23万亩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增加0.6万亩，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增长0.3%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。其中，稻谷种植面积95.54亩，减少0.58万亩；小麦种植面积39.46万亩，增加0.45万亩；玉米种植面积21.42万亩，增加0.04万亩；大豆种植面积15.69万亩，增加0.59万亩。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全年粮食总产量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71.31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比上年增加0.98万吨。谷物产量68.96万吨，增产1.0%。其中，稻谷产量54.53万吨，增产0.5%；小麦产量7.81万吨，增产4.3%；玉米产量6.02万吨，增产1.2%。大豆产量1.85万吨，增产20.1%。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棉花产量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0.90万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下降4.2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%；蔬菜及食用菌产量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64.48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增长6.1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%；油菜籽产量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比上年增0.47万吨，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增长3.6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全年猪肉产量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3.21万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吨，比上年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下降22.1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禽蛋产量2.03万吨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增长4.6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%。年末生猪存栏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29.88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比上年下降10.4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%；全年生猪出栏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下降24.0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全年水产品产量31.14万吨，比上年增长3.7%。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全年渔业产量31.1万吨，同比增长3.6%。其中，全年黄鳝产量8.01万吨，同比增长11.1%。</w:t>
      </w:r>
    </w:p>
    <w:p>
      <w:p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三、工业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和建筑业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全年规模以上工业增加值比上年增长5.5%。分经济类型看，股份制企业下降0.1%，外商及港澳台投资企业增长26.6%。轻工业增长4.4%，重工业增长27.0%。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市纳统的30个工业大类行业中，有16个行业增加值实现同比增长，行业增长面达53.3%。其中，仪器仪表制造业、废弃资源综合利用业和电力、热力生产和供应业得益于新入库企业拉动，增加值分别同比增长292.6%、146.7%、127.1%。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r>
        <w:drawing>
          <wp:inline distT="0" distB="0" distL="114300" distR="114300">
            <wp:extent cx="5123815" cy="2790825"/>
            <wp:effectExtent l="4445" t="4445" r="15240" b="5080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ind w:firstLine="59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59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全年完成规模以上工业总产值808.78亿元，比上年下降1.2%。其中，电子电气产业完成88.66亿元，增长11.8%；食品产业完成106.35亿元，增长8.5%；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机械及汽车零部件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67.31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增长5.7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纺织服装产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完成44.88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下降42.6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非织造布产业完成223.47亿元，下降8.5%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59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全年规模以上工业销售产值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比上年下降3.3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产品销售率为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95.5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%，出口交货值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下降23.4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%。全年规模以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工业企业实现利润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总额43.26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下降13.0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全年工业用电量累计完成23.31亿千瓦时，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下降6.8％，占全社会用电量比重为53.3%。</w:t>
      </w:r>
    </w:p>
    <w:tbl>
      <w:tblPr>
        <w:tblStyle w:val="7"/>
        <w:tblW w:w="82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1305"/>
        <w:gridCol w:w="1545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26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表2  2023年全市主要工业产品产量及其增长速度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产量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14.7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焙烤松脆食品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万千升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-42.9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毛机织物（呢绒）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非织造布（无纺布）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万个(只)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582111.6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-46.2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3656.4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机制纸及纸板（外购原纸加工除外）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26.1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15.6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表面活性剂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1351.0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109.2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预应力混凝土桩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隔热、隔音人造矿物材料及其制品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耐火材料制品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金属切削工具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264.4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-47.8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金属压力容器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5446.0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金属包装容器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1574.0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通信及电子网络用电缆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万对千米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光电子器件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12.9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印制电路板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364.5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衡器（秤）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95.5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自来水生产量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亿立方米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 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全年新增入统建筑业企业13家，全市在库建筑业企业达到70家，同比增长16.7%。全市建筑业共完成总产值162.47亿元，同比增长6.2%。全年共签订建筑合同额同比增长3.2%，其中本年新签建筑合同额同比增长4.8%。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全市建筑企业房屋施工面积同比下降11.5%，房屋竣工面积同比下降8.4%。</w:t>
      </w:r>
    </w:p>
    <w:p>
      <w:pPr>
        <w:ind w:firstLine="643" w:firstLineChars="200"/>
        <w:jc w:val="both"/>
        <w:rPr>
          <w:rFonts w:hint="default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四、固定资产投资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房地产</w:t>
      </w:r>
    </w:p>
    <w:p>
      <w:pPr>
        <w:ind w:firstLine="59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固定资产投资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比上年增长8.5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按产业划分，第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增长59.9%、23.3%，第三产业投资下降8.4%。分领域看，工业投资、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民间投资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分别增长23.3%、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分行业看，全市高技术制造业投资下降34.8%，高技术服务业投资下降24.0%。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全市建安工程投资同比增长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%，建安投资占固定资产投资的比重为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015865" cy="3018790"/>
            <wp:effectExtent l="4445" t="4445" r="8890" b="5715"/>
            <wp:docPr id="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2023年，全市工业投资同比增长23.3%，高于全市投资14.8个百分点，全年保持了两位数增长。工业投资占全部投资比重达53.4%，比同期提高6.4个百分点。全年工业技改投资同比增长5.3%，其中制造业技改投资同比增长2.0%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全年新投产项目422个，计划总投资532.05亿元，同比分别增长17.2%、43.5%，其中亿元以上项目140个，计划总投资428.45亿元，同比分别增长48.9%、55.6%。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房地产开发投资同比下降14.0%。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全市新建商品房销售面积同比增长1.8%；商品房销售额同比增长13.1%。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五、国内外贸易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全年实现社会消费品零售总额535.44亿元，比上年增长7.4%。分城乡看，城镇实现零售额322.79亿元，增长7.5%；乡村实现零售额212.64亿元，增长8.0%。其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中，限额以上企业（单位）实现消费品零售额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245.01亿元，下降12.6%。分行业看，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发业实现销售额49.43亿元，下降23.2%；零售业实现销售额189.32亿元，下降18.8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%；住宿业实现营业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额0.87亿元，下降46.9%；餐饮业实现营业额5.39亿元，下降24.6%。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drawing>
          <wp:inline distT="0" distB="0" distL="114300" distR="114300">
            <wp:extent cx="5274310" cy="2629535"/>
            <wp:effectExtent l="4445" t="4445" r="17145" b="13970"/>
            <wp:docPr id="16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实现进出口85.0亿元，同比下降11.2%，其中出口总额77.4亿元，同比下降10.9%；进口总额7.6亿元，同比下降14.4%。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全年实际利用外资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万美元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增长159.9%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六、交通、邮电和旅游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年末全市公路通车里程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公里，其中等级公路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高速公路里程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公里。全年完成货运量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比上年增长46.4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%；完成客运量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112万人，下降40.0%。民用汽车拥有量累计14.92万辆，增长5.3%，其中私人汽车累计13.44万辆，增长0.9%。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完成邮电业务收入12.52亿元，比上年增长8.2%，其中邮政业务收入3.74亿元，增长11.7%。邮政快递业务量2124.87万件，增长56.7%；快递业务收入4513.18万元，增长18.1%。年末本地固定电话用户9.54万户，增长3.1%；移动电话年末用户115.78万户，增长4.1%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固定互联网宽带接入用户64.38万户，增长6.1%。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全年共接待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国内外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游客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846.15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增长55.1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%，旅游总收入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50.51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增长56.7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星级饭店3个，客房数369间。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七、财政、金融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全年财政总收入完成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62.28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比上年增长4.7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%。地方一般公共财预算收入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完成38.10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增长10.4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地方公共财政预算收入中税收收入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30.49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增长6.1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%，占地方一般公共预算收入的比重为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104.77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增长3.3%。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全市金融机构各项存款余额1237.8亿元，比上年增长8.0%，比年初增加91.83亿元；其中住户存款1003.16亿元，增长12.3%，比年初增加109.64亿元。各项贷款余额655.07亿元，增长12.5%，比年初增加72.73亿元；其中住户贷款333.71亿元，增长7.3%，比年初增加22.6亿元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八、科学技术和教育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高新技术企业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共有197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规模以上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高新技术产业增加值完成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118.28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比上年增长9.8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%，高新技术产业增加值占GDP比重为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新增专利授权量962件，其中授权发明专利96件，同比增长41.2%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每万人发明专利拥有量为4.44件，同比增长20.3%，其中每万人高价值发明专利拥有量1.63件，同比增长25.4%。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黄鳝产业技术研究院成功获批省级产业技术研究院备案管理。全年，新增1家省级企校联合创新中心、4家科技特派员工作站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全市学校总数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105个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，其中普通中学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59个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。在校学生数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万人，其中普通中学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万人。专任教师数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10556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人，其中普通中学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人。全市幼儿园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所，在园幼儿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万人。学龄儿童入学率100%，初中毕业生升学率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96.64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%，九年义务教育完成率9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九、文化、卫生和体育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年末全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共有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个公共图书馆，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公共图书馆藏书30.36万册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文化站22个，民间剧团20个，电影院11个，艺术表演团体160个。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广播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电视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覆盖率为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共有医院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个，基层医疗卫生机构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个，专业公共卫生机构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个。卫生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9254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人，其中执业助理医师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人，注册护师、护士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人。医疗卫生机构床位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张，其中医院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张，卫生院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张，社区卫生服务中心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年末全市各类体育场地3662个，体育场地面积333.37万平方米，人均体育场地面积3.01平方米。全民健身路径1004个、健身步道145个，长度331.97公里。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十、人民生活和社会保障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年末常住人口109.32万人，其中，城镇67.16万人，乡村42.16万人，城镇化率达到61.43%。年末总户数42.0万户，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下降0.2%；户籍人口150.04万人，下降0.6%。全年出生人口6384人，出生率为4.25‰;死亡人口8886人，死亡率为5.92‰，人口自然增长率为-1.67‰。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全年城镇在岗职工平均工资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71539元，增长6.2%。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城镇常住居民人均可支配收入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43114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%；农村常住居民人均可支配收入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26578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，增长8.0%；城镇居民人均消费支出26806元,增长7.8%；农村居民人均消费支出16929元，增长10.5%。</w:t>
      </w:r>
    </w:p>
    <w:tbl>
      <w:tblPr>
        <w:tblStyle w:val="7"/>
        <w:tblW w:w="83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667"/>
        <w:gridCol w:w="983"/>
        <w:gridCol w:w="1617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4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表3  2023年全市居民人均消费支出及构成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城镇居民人均消费支出（元）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增速（%）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农村居民人均消费支出（元）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一、消费支出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（一）食品烟酒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（二）衣着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（三）居住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（四）生活用品及服务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（五）交通通信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（六）教育文化娱乐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（七）医疗保健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（八）其他用品和服务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年末全市已参加养老保险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96.38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万人。其中，城镇职工参加基本养老保险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21.64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万人，城镇离退休人员养老保险参保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万人，参加城乡居民养老保险人数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62.17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万人。参加职工基本医疗保险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参加城乡居民基本医疗保险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113.6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参加生育保险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12月末，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城镇新增就业人员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城镇登记失业率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为4.75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居民最低生活保障已保人数为39951人，其中，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城镇居民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为11251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人。社会福利事业不断发展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社会福利收养性单位28个，收养性单位床位数3142张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十一、资源、环境、公共安全和应急管理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市造林绿化面积3.43万亩，森林覆盖率为2.29%，比上年增长2.2%，森林蓄积量为48.59万立方米，增长8.2%，空气质量优良率83.8%，地表水达到或好于Ⅲ类水体比例为60%，地表水质量改善指数为1.01，细颗粒物（PM2.5）平均浓度为38.4微克／立方米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全年各类生产安全事故65起，比上年增长44.4%；死亡40人，下降14.9%。治安案件受理数12274起，下降11.7%；治安案件查处数4323起，下降39.3%。交通事故发生数29768起，增长13.4%；死亡人数132人，下降8.3%。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注: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1.本公报部分数据为初步统计数，部分数据因四舍五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入的原因，存在着与分项合计不等的情况。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2.地区生产总值（GDP）、各产业增加值绝对数按现行价格计算，增长速度按不变价格计算。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数据来源：本公报中数据来源于各市直部门，总户数、人口数据来自公安局；城镇新增就业、城镇登记失业率、养老保险、失业保险数据来自人社局；医疗保险数据来自医保局；外贸数据来自商务局；市场主体、专利授权数据来自市场监督管理局；财政、金融数据来自财政局、人民银行；公共安全、应急数据来自公安局、应急管理局；城乡低保数据来自民政局；环境数据来自生态环境局；林业数据来自林业事业发展中心；文化、旅游、科技、卫生、教育、体育数据来自文广新局、科技局、卫健委、教育局、体育事业发展中心；交通、邮电数据来自交通运输局、邮政分公司、江汉移动公司、仙桃联通公司、电信分公司、湖北广电网络仙桃分公司。</w:t>
      </w:r>
    </w:p>
    <w:p>
      <w:pPr>
        <w:pStyle w:val="2"/>
        <w:rPr>
          <w:rFonts w:hint="default"/>
          <w:sz w:val="32"/>
          <w:szCs w:val="32"/>
          <w:lang w:val="en-US" w:eastAsia="zh-CN"/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OWJlOWJiOGYxNjRkOTk0NjhkYTE3ODE0OTE3MDMifQ=="/>
    <w:docVar w:name="KSO_WPS_MARK_KEY" w:val="c21f8725-9601-4e9b-85e3-bf24c0350d8f"/>
  </w:docVars>
  <w:rsids>
    <w:rsidRoot w:val="17586DE3"/>
    <w:rsid w:val="02323E22"/>
    <w:rsid w:val="03822CFE"/>
    <w:rsid w:val="056F54F3"/>
    <w:rsid w:val="065C2940"/>
    <w:rsid w:val="068A0F54"/>
    <w:rsid w:val="0AC62632"/>
    <w:rsid w:val="0AFF49D3"/>
    <w:rsid w:val="0C0D14EA"/>
    <w:rsid w:val="11E72E7D"/>
    <w:rsid w:val="128A4205"/>
    <w:rsid w:val="128F2D41"/>
    <w:rsid w:val="12D26838"/>
    <w:rsid w:val="14B01FD9"/>
    <w:rsid w:val="159C2072"/>
    <w:rsid w:val="17586DE3"/>
    <w:rsid w:val="18396618"/>
    <w:rsid w:val="18E12B75"/>
    <w:rsid w:val="1D0D0BB2"/>
    <w:rsid w:val="1DE67B5E"/>
    <w:rsid w:val="1F60659A"/>
    <w:rsid w:val="204465F2"/>
    <w:rsid w:val="22573452"/>
    <w:rsid w:val="2290420C"/>
    <w:rsid w:val="23AF3EF9"/>
    <w:rsid w:val="243B0746"/>
    <w:rsid w:val="25A15A8C"/>
    <w:rsid w:val="25DE12EA"/>
    <w:rsid w:val="28395E4A"/>
    <w:rsid w:val="283F3982"/>
    <w:rsid w:val="2ADB44E2"/>
    <w:rsid w:val="2B0921B3"/>
    <w:rsid w:val="2B0B74DA"/>
    <w:rsid w:val="2BAA21BE"/>
    <w:rsid w:val="2BBB0F59"/>
    <w:rsid w:val="2EEC255E"/>
    <w:rsid w:val="2FB3602C"/>
    <w:rsid w:val="30730A62"/>
    <w:rsid w:val="332B1190"/>
    <w:rsid w:val="35EA38A4"/>
    <w:rsid w:val="37D13F80"/>
    <w:rsid w:val="38A547BD"/>
    <w:rsid w:val="38EF5415"/>
    <w:rsid w:val="3C3D21C2"/>
    <w:rsid w:val="3CC907EA"/>
    <w:rsid w:val="3E28200A"/>
    <w:rsid w:val="404046D6"/>
    <w:rsid w:val="41395AA3"/>
    <w:rsid w:val="41B3007C"/>
    <w:rsid w:val="43526E1E"/>
    <w:rsid w:val="43B6162D"/>
    <w:rsid w:val="45151516"/>
    <w:rsid w:val="455B3C07"/>
    <w:rsid w:val="46F5782D"/>
    <w:rsid w:val="475C3C7D"/>
    <w:rsid w:val="478137DD"/>
    <w:rsid w:val="48267E28"/>
    <w:rsid w:val="4A564C76"/>
    <w:rsid w:val="4ADA014C"/>
    <w:rsid w:val="4BA37835"/>
    <w:rsid w:val="4F0F2539"/>
    <w:rsid w:val="4F2C30CF"/>
    <w:rsid w:val="4FE525E9"/>
    <w:rsid w:val="56017E52"/>
    <w:rsid w:val="577B1614"/>
    <w:rsid w:val="599F3034"/>
    <w:rsid w:val="5A4127D4"/>
    <w:rsid w:val="5AA6585E"/>
    <w:rsid w:val="5AD127E4"/>
    <w:rsid w:val="5C2941B8"/>
    <w:rsid w:val="5CD72030"/>
    <w:rsid w:val="5DFF0D81"/>
    <w:rsid w:val="5E2D54BF"/>
    <w:rsid w:val="5F6175B2"/>
    <w:rsid w:val="5FCE4878"/>
    <w:rsid w:val="61B5350A"/>
    <w:rsid w:val="6369505F"/>
    <w:rsid w:val="637E2B0C"/>
    <w:rsid w:val="64C52496"/>
    <w:rsid w:val="65453D1C"/>
    <w:rsid w:val="65AC068A"/>
    <w:rsid w:val="66240220"/>
    <w:rsid w:val="66AF0431"/>
    <w:rsid w:val="67554035"/>
    <w:rsid w:val="678F0F40"/>
    <w:rsid w:val="68011C00"/>
    <w:rsid w:val="6846679E"/>
    <w:rsid w:val="69320F5F"/>
    <w:rsid w:val="6B661B72"/>
    <w:rsid w:val="6CD14F5F"/>
    <w:rsid w:val="6E565636"/>
    <w:rsid w:val="6ECC78C8"/>
    <w:rsid w:val="6EF30CDE"/>
    <w:rsid w:val="6F490CF7"/>
    <w:rsid w:val="7260497B"/>
    <w:rsid w:val="74441559"/>
    <w:rsid w:val="768B09FE"/>
    <w:rsid w:val="771611B7"/>
    <w:rsid w:val="77560455"/>
    <w:rsid w:val="797B67FE"/>
    <w:rsid w:val="7A9A2F27"/>
    <w:rsid w:val="7AFA207B"/>
    <w:rsid w:val="7BB511A9"/>
    <w:rsid w:val="7BF00E78"/>
    <w:rsid w:val="7E45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auto"/>
      <w:jc w:val="both"/>
    </w:pPr>
    <w:rPr>
      <w:rFonts w:ascii="Calibri" w:hAnsi="Calibri" w:eastAsia="宋体" w:cs="Times New Roman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dministrator\Desktop\2023&#24180;&#32479;&#35745;&#25163;&#20876;\&#22270;%20%202023&#32479;&#35745;&#20844;&#25253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23&#24180;&#32479;&#35745;&#25163;&#20876;\&#22270;%20%202023&#32479;&#35745;&#20844;&#25253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2023&#24180;&#32479;&#35745;&#25163;&#20876;\&#22270;%20%202023&#32479;&#35745;&#20844;&#25253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2023&#24180;&#32479;&#35745;&#25163;&#20876;\&#22270;%20%202023&#32479;&#35745;&#20844;&#25253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3&#24180;&#32479;&#35745;&#25163;&#20876;\&#22270;%20%202023&#32479;&#35745;&#20844;&#252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图1  201</a:t>
            </a:r>
            <a:r>
              <a:rPr lang="en-US" altLang="zh-CN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9</a:t>
            </a:r>
            <a:r>
              <a:rPr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—202</a:t>
            </a:r>
            <a:r>
              <a:rPr lang="en-US" altLang="zh-CN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3</a:t>
            </a:r>
            <a:r>
              <a:rPr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年地区生产总值增速</a:t>
            </a:r>
            <a:endParaRPr>
              <a:latin typeface="黑体" panose="02010609060101010101" charset="-122"/>
              <a:ea typeface="黑体" panose="02010609060101010101" charset="-122"/>
              <a:cs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'[图  2023统计公报.xlsx]2021年公报图片'!$B$2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0.00796812749003984"/>
                  <c:y val="-0.05512172714745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398406374501992"/>
                  <c:y val="-0.06890215893431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59362549800797"/>
                  <c:y val="-0.05512172714745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2023统计公报.xlsx]2021年公报图片'!$A$6:$A$10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'[图  2023统计公报.xlsx]2021年公报图片'!$B$6:$B$10</c:f>
              <c:numCache>
                <c:formatCode>General</c:formatCode>
                <c:ptCount val="5"/>
                <c:pt idx="0">
                  <c:v>7.7</c:v>
                </c:pt>
                <c:pt idx="1">
                  <c:v>-4.3</c:v>
                </c:pt>
                <c:pt idx="2">
                  <c:v>6.3</c:v>
                </c:pt>
                <c:pt idx="3">
                  <c:v>5.3</c:v>
                </c:pt>
                <c:pt idx="4">
                  <c:v>4.6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93586120"/>
        <c:axId val="63633650"/>
      </c:lineChart>
      <c:catAx>
        <c:axId val="793586120"/>
        <c:scaling>
          <c:orientation val="minMax"/>
        </c:scaling>
        <c:delete val="0"/>
        <c:axPos val="b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633650"/>
        <c:crosses val="autoZero"/>
        <c:auto val="1"/>
        <c:lblAlgn val="ctr"/>
        <c:lblOffset val="100"/>
        <c:noMultiLvlLbl val="0"/>
      </c:catAx>
      <c:valAx>
        <c:axId val="636336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3586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图2 201</a:t>
            </a:r>
            <a:r>
              <a:rPr lang="en-US" altLang="zh-CN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9</a:t>
            </a:r>
            <a:r>
              <a:rPr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—2023年地区生产总值构成</a:t>
            </a:r>
            <a:endParaRPr>
              <a:latin typeface="黑体" panose="02010609060101010101" charset="-122"/>
              <a:ea typeface="黑体" panose="02010609060101010101" charset="-122"/>
              <a:cs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'[图  2023统计公报.xlsx]2021年公报图片'!$B$20</c:f>
              <c:strCache>
                <c:ptCount val="1"/>
                <c:pt idx="0">
                  <c:v>第一产业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2023统计公报.xlsx]2021年公报图片'!$A$21:$A$27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'[图  2023统计公报.xlsx]2021年公报图片'!$B$21:$B$27</c:f>
              <c:numCache>
                <c:formatCode>General</c:formatCode>
                <c:ptCount val="5"/>
                <c:pt idx="0">
                  <c:v>10.7</c:v>
                </c:pt>
                <c:pt idx="1">
                  <c:v>11.7</c:v>
                </c:pt>
                <c:pt idx="2">
                  <c:v>12.8</c:v>
                </c:pt>
                <c:pt idx="3">
                  <c:v>12.1</c:v>
                </c:pt>
                <c:pt idx="4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'[图  2023统计公报.xlsx]2021年公报图片'!$C$20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2023统计公报.xlsx]2021年公报图片'!$A$21:$A$27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'[图  2023统计公报.xlsx]2021年公报图片'!$C$21:$C$27</c:f>
              <c:numCache>
                <c:formatCode>General</c:formatCode>
                <c:ptCount val="5"/>
                <c:pt idx="0">
                  <c:v>46.1</c:v>
                </c:pt>
                <c:pt idx="1">
                  <c:v>43.2</c:v>
                </c:pt>
                <c:pt idx="2">
                  <c:v>42.7</c:v>
                </c:pt>
                <c:pt idx="3">
                  <c:v>45.6</c:v>
                </c:pt>
                <c:pt idx="4" c:formatCode="0.0_ ">
                  <c:v>43</c:v>
                </c:pt>
              </c:numCache>
            </c:numRef>
          </c:val>
        </c:ser>
        <c:ser>
          <c:idx val="2"/>
          <c:order val="2"/>
          <c:tx>
            <c:strRef>
              <c:f>'[图  2023统计公报.xlsx]2021年公报图片'!$D$20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2023统计公报.xlsx]2021年公报图片'!$A$21:$A$27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'[图  2023统计公报.xlsx]2021年公报图片'!$D$21:$D$27</c:f>
              <c:numCache>
                <c:formatCode>General</c:formatCode>
                <c:ptCount val="5"/>
                <c:pt idx="0">
                  <c:v>43.2</c:v>
                </c:pt>
                <c:pt idx="1">
                  <c:v>45.1</c:v>
                </c:pt>
                <c:pt idx="2">
                  <c:v>44.5</c:v>
                </c:pt>
                <c:pt idx="3">
                  <c:v>42.3</c:v>
                </c:pt>
                <c:pt idx="4">
                  <c:v>45.4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714310951"/>
        <c:axId val="479821626"/>
      </c:barChart>
      <c:catAx>
        <c:axId val="71431095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9821626"/>
        <c:crosses val="autoZero"/>
        <c:auto val="1"/>
        <c:lblAlgn val="ctr"/>
        <c:lblOffset val="100"/>
        <c:noMultiLvlLbl val="0"/>
      </c:catAx>
      <c:valAx>
        <c:axId val="47982162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4310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图3 </a:t>
            </a:r>
            <a:r>
              <a:rPr lang="en-US" altLang="zh-CN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  </a:t>
            </a:r>
            <a:r>
              <a:rPr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2019—2023年全市规模以上工业增加值增速</a:t>
            </a:r>
            <a:endParaRPr>
              <a:latin typeface="黑体" panose="02010609060101010101" charset="-122"/>
              <a:ea typeface="黑体" panose="02010609060101010101" charset="-122"/>
              <a:cs typeface="黑体" panose="02010609060101010101" charset="-122"/>
            </a:endParaRPr>
          </a:p>
        </c:rich>
      </c:tx>
      <c:layout>
        <c:manualLayout>
          <c:xMode val="edge"/>
          <c:yMode val="edge"/>
          <c:x val="0.109305555555556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'[图  2023统计公报.xlsx]2021年公报图片'!$N$36</c:f>
              <c:strCache>
                <c:ptCount val="1"/>
                <c:pt idx="0">
                  <c:v>规模以上工业增加值增速</c:v>
                </c:pt>
              </c:strCache>
            </c:strRef>
          </c:tx>
          <c:spPr>
            <a:ln w="28575" cap="sq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2023统计公报.xlsx]2021年公报图片'!$M$37:$M$41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'[图  2023统计公报.xlsx]2021年公报图片'!$N$37:$N$41</c:f>
              <c:numCache>
                <c:formatCode>0.0_ </c:formatCode>
                <c:ptCount val="5"/>
                <c:pt idx="0">
                  <c:v>9.4</c:v>
                </c:pt>
                <c:pt idx="1">
                  <c:v>-3.8</c:v>
                </c:pt>
                <c:pt idx="2">
                  <c:v>-7.9</c:v>
                </c:pt>
                <c:pt idx="3">
                  <c:v>11</c:v>
                </c:pt>
                <c:pt idx="4" c:formatCode="General">
                  <c:v>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77613218"/>
        <c:axId val="200527449"/>
      </c:lineChart>
      <c:dateAx>
        <c:axId val="677613218"/>
        <c:scaling>
          <c:orientation val="minMax"/>
        </c:scaling>
        <c:delete val="0"/>
        <c:axPos val="b"/>
        <c:numFmt formatCode="[$-C04]yyyy&quot;年&quot;m&quot;月&quot;d&quot;日&quot;;@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b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0527449"/>
        <c:crosses val="autoZero"/>
        <c:auto val="0"/>
        <c:lblAlgn val="ctr"/>
        <c:lblOffset val="100"/>
        <c:baseTimeUnit val="days"/>
      </c:dateAx>
      <c:valAx>
        <c:axId val="20052744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761321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4 2023</a:t>
            </a:r>
            <a:r>
              <a:rPr altLang="en-US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年全市三次产业投资占固定资产投资比重</a:t>
            </a:r>
            <a:endParaRPr lang="en-US" altLang="zh-CN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ln w="19050" cap="rnd">
              <a:solidFill>
                <a:schemeClr val="lt1"/>
              </a:solidFill>
            </a:ln>
          </c:spPr>
          <c:explosion val="1"/>
          <c:dPt>
            <c:idx val="0"/>
            <c:bubble3D val="0"/>
            <c:spPr>
              <a:solidFill>
                <a:schemeClr val="accent4">
                  <a:lumMod val="75000"/>
                </a:schemeClr>
              </a:solidFill>
              <a:ln w="19050" cap="rnd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 cap="rnd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 cap="rnd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829601381306951"/>
                  <c:y val="0.099846246933793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cap="none" spc="0" normalizeH="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仿宋_GB2312" panose="02010609030101010101" pitchFamily="3" charset="-122"/>
                        <a:ea typeface="仿宋_GB2312" panose="02010609030101010101" pitchFamily="3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defRPr>
                    </a:pPr>
                    <a:r>
                      <a:rPr>
                        <a:latin typeface="仿宋_GB2312" panose="02010609030101010101" pitchFamily="3" charset="-122"/>
                        <a:ea typeface="仿宋_GB2312" panose="02010609030101010101" pitchFamily="3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rPr>
                      <a:t>第一产业</a:t>
                    </a:r>
                    <a:r>
                      <a:rPr lang="en-US" altLang="zh-CN">
                        <a:latin typeface="仿宋_GB2312" panose="02010609030101010101" pitchFamily="3" charset="-122"/>
                        <a:ea typeface="仿宋_GB2312" panose="02010609030101010101" pitchFamily="3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rPr>
                      <a:t>4.3</a:t>
                    </a:r>
                    <a:r>
                      <a:rPr>
                        <a:latin typeface="仿宋_GB2312" panose="02010609030101010101" pitchFamily="3" charset="-122"/>
                        <a:ea typeface="仿宋_GB2312" panose="02010609030101010101" pitchFamily="3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rPr>
                      <a:t>%</a:t>
                    </a:r>
                    <a:endParaRPr>
                      <a:latin typeface="仿宋_GB2312" panose="02010609030101010101" pitchFamily="3" charset="-122"/>
                      <a:ea typeface="仿宋_GB2312" panose="02010609030101010101" pitchFamily="3" charset="-122"/>
                      <a:cs typeface="仿宋_GB2312" panose="02010609030101010101" pitchFamily="3" charset="-122"/>
                      <a:sym typeface="仿宋_GB2312" panose="02010609030101010101" pitchFamily="3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82397535321931"/>
                  <c:y val="-0.10730960530737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cap="none" spc="0" normalizeH="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仿宋_GB2312" panose="02010609030101010101" pitchFamily="3" charset="-122"/>
                        <a:ea typeface="仿宋_GB2312" panose="02010609030101010101" pitchFamily="3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defRPr>
                    </a:pPr>
                    <a:r>
                      <a:rPr>
                        <a:sym typeface="仿宋_GB2312" panose="02010609030101010101" pitchFamily="3" charset="-122"/>
                      </a:rPr>
                      <a:t>第二产业</a:t>
                    </a:r>
                    <a:r>
                      <a:rPr lang="en-US" altLang="zh-CN">
                        <a:sym typeface="仿宋_GB2312" panose="02010609030101010101" pitchFamily="3" charset="-122"/>
                      </a:rPr>
                      <a:t>53.4</a:t>
                    </a:r>
                    <a:r>
                      <a:rPr>
                        <a:sym typeface="仿宋_GB2312" panose="02010609030101010101" pitchFamily="3" charset="-122"/>
                      </a:rPr>
                      <a:t>%</a:t>
                    </a:r>
                    <a:endParaRPr>
                      <a:sym typeface="仿宋_GB2312" panose="02010609030101010101" pitchFamily="3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33815707957011"/>
                  <c:y val="0.18063685756896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cap="none" spc="0" normalizeH="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仿宋_GB2312" panose="02010609030101010101" pitchFamily="3" charset="-122"/>
                        <a:ea typeface="仿宋_GB2312" panose="02010609030101010101" pitchFamily="3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defRPr>
                    </a:pPr>
                    <a:r>
                      <a:rPr>
                        <a:latin typeface="仿宋_GB2312" panose="02010609030101010101" pitchFamily="3" charset="-122"/>
                        <a:ea typeface="仿宋_GB2312" panose="02010609030101010101" pitchFamily="3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rPr>
                      <a:t>第三产业</a:t>
                    </a:r>
                    <a:r>
                      <a:rPr lang="en-US" altLang="zh-CN">
                        <a:latin typeface="仿宋_GB2312" panose="02010609030101010101" pitchFamily="3" charset="-122"/>
                        <a:ea typeface="仿宋_GB2312" panose="02010609030101010101" pitchFamily="3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rPr>
                      <a:t>42.2</a:t>
                    </a:r>
                    <a:r>
                      <a:rPr>
                        <a:latin typeface="仿宋_GB2312" panose="02010609030101010101" pitchFamily="3" charset="-122"/>
                        <a:ea typeface="仿宋_GB2312" panose="02010609030101010101" pitchFamily="3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rPr>
                      <a:t>%</a:t>
                    </a:r>
                    <a:endParaRPr>
                      <a:latin typeface="仿宋_GB2312" panose="02010609030101010101" pitchFamily="3" charset="-122"/>
                      <a:ea typeface="仿宋_GB2312" panose="02010609030101010101" pitchFamily="3" charset="-122"/>
                      <a:cs typeface="仿宋_GB2312" panose="02010609030101010101" pitchFamily="3" charset="-122"/>
                      <a:sym typeface="仿宋_GB2312" panose="02010609030101010101" pitchFamily="3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cap="none" spc="0" normalizeH="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仿宋_GB2312" panose="02010609030101010101" pitchFamily="3" charset="-122"/>
                    <a:ea typeface="仿宋_GB2312" panose="02010609030101010101" pitchFamily="3" charset="-122"/>
                    <a:cs typeface="仿宋_GB2312" panose="02010609030101010101" pitchFamily="3" charset="-122"/>
                    <a:sym typeface="仿宋_GB2312" panose="02010609030101010101" pitchFamily="3" charset="-122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2023统计公报.xlsx]2021年公报图片'!$A$82:$A$84</c:f>
              <c:strCache>
                <c:ptCount val="3"/>
                <c:pt idx="0">
                  <c:v>第一产业（%）</c:v>
                </c:pt>
                <c:pt idx="1">
                  <c:v>第二产业（%）</c:v>
                </c:pt>
                <c:pt idx="2">
                  <c:v>第三产业（%）</c:v>
                </c:pt>
              </c:strCache>
            </c:strRef>
          </c:cat>
          <c:val>
            <c:numRef>
              <c:f>'[图  2023统计公报.xlsx]2021年公报图片'!$B$82:$B$84</c:f>
              <c:numCache>
                <c:formatCode>0.0%</c:formatCode>
                <c:ptCount val="3"/>
                <c:pt idx="0">
                  <c:v>0.043</c:v>
                </c:pt>
                <c:pt idx="1">
                  <c:v>0.534</c:v>
                </c:pt>
                <c:pt idx="2">
                  <c:v>0.422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4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lang="zh-CN">
          <a:latin typeface="仿宋_GB2312" panose="02010609030101010101" pitchFamily="3" charset="-122"/>
          <a:ea typeface="仿宋_GB2312" panose="02010609030101010101" pitchFamily="3" charset="-122"/>
          <a:cs typeface="仿宋_GB2312" panose="02010609030101010101" pitchFamily="3" charset="-122"/>
          <a:sym typeface="仿宋_GB2312" panose="02010609030101010101" pitchFamily="3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图5 2019-2023年全市社会消费品零售总额及增速</a:t>
            </a:r>
            <a:endParaRPr>
              <a:solidFill>
                <a:schemeClr val="tx1"/>
              </a:solidFill>
              <a:latin typeface="黑体" panose="02010609060101010101" charset="-122"/>
              <a:ea typeface="黑体" panose="02010609060101010101" charset="-122"/>
              <a:cs typeface="黑体" panose="02010609060101010101" charset="-122"/>
            </a:endParaRPr>
          </a:p>
        </c:rich>
      </c:tx>
      <c:layout>
        <c:manualLayout>
          <c:xMode val="edge"/>
          <c:yMode val="edge"/>
          <c:x val="0.112465410462512"/>
          <c:y val="0.02777134922471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Lbl>
              <c:idx val="2"/>
              <c:layout>
                <c:manualLayout>
                  <c:x val="-0.0655398413245947"/>
                  <c:y val="0.01037822878228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'[图  2023统计公报.xlsx]2021年公报图片'!$A$58:$A$62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'[图  2023统计公报.xlsx]2021年公报图片'!$B$58:$B$62</c:f>
              <c:numCache>
                <c:formatCode>General</c:formatCode>
                <c:ptCount val="5"/>
                <c:pt idx="0">
                  <c:v>445.2</c:v>
                </c:pt>
                <c:pt idx="1">
                  <c:v>381.93</c:v>
                </c:pt>
                <c:pt idx="2">
                  <c:v>482.02</c:v>
                </c:pt>
                <c:pt idx="3">
                  <c:v>498.32</c:v>
                </c:pt>
                <c:pt idx="4">
                  <c:v>535.44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6759197"/>
        <c:axId val="122761975"/>
      </c:barChart>
      <c:lineChart>
        <c:grouping val="standard"/>
        <c:varyColors val="0"/>
        <c:ser>
          <c:idx val="1"/>
          <c:order val="1"/>
          <c:spPr>
            <a:ln w="158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0"/>
                  <c:y val="0.04778156996587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377358490566038"/>
                  <c:y val="0.04436860068259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43083171165073"/>
                  <c:y val="-0.03183129100915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67409551795871"/>
                  <c:y val="-0.01051754971474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'[图  2023统计公报.xlsx]2021年公报图片'!$A$58:$A$62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'[图  2023统计公报.xlsx]2021年公报图片'!$C$58:$C$62</c:f>
              <c:numCache>
                <c:formatCode>General</c:formatCode>
                <c:ptCount val="5"/>
                <c:pt idx="0">
                  <c:v>11.7</c:v>
                </c:pt>
                <c:pt idx="1">
                  <c:v>-14.2</c:v>
                </c:pt>
                <c:pt idx="2">
                  <c:v>26.2</c:v>
                </c:pt>
                <c:pt idx="3">
                  <c:v>3.4</c:v>
                </c:pt>
                <c:pt idx="4">
                  <c:v>7.4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40027452"/>
        <c:axId val="923977418"/>
      </c:lineChart>
      <c:catAx>
        <c:axId val="51675919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2761975"/>
        <c:crosses val="autoZero"/>
        <c:auto val="1"/>
        <c:lblAlgn val="ctr"/>
        <c:lblOffset val="100"/>
        <c:noMultiLvlLbl val="0"/>
      </c:catAx>
      <c:valAx>
        <c:axId val="1227619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759197"/>
        <c:crosses val="autoZero"/>
        <c:crossBetween val="between"/>
      </c:valAx>
      <c:catAx>
        <c:axId val="34002745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3977418"/>
        <c:crosses val="autoZero"/>
        <c:auto val="1"/>
        <c:lblAlgn val="ctr"/>
        <c:lblOffset val="100"/>
        <c:noMultiLvlLbl val="0"/>
      </c:catAx>
      <c:valAx>
        <c:axId val="92397741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0027452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2024-03-26T07:47:00Z</dcterms:created>
  <dc:creator>马明</dc:creator>
  <cp:lastModifiedBy>马明</cp:lastModifiedBy>
  <cp:lastPrinted>2024-04-04T01:55:00Z</cp:lastPrinted>
  <dcterms:modified xsi:type="dcterms:W3CDTF">2024-05-31T02:54:15Z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8B934EEDC0B6457D983B0533E46DE78A</vt:lpwstr>
  </property>
</Properties>
</file>