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D2" w:rsidRDefault="00A269D2">
      <w:pPr>
        <w:widowControl/>
        <w:spacing w:line="560" w:lineRule="exact"/>
        <w:jc w:val="center"/>
        <w:outlineLvl w:val="1"/>
        <w:rPr>
          <w:rFonts w:ascii="黑体" w:eastAsia="黑体" w:hAnsi="黑体" w:cs="Helvetica"/>
          <w:color w:val="333333"/>
          <w:kern w:val="0"/>
          <w:sz w:val="44"/>
          <w:szCs w:val="44"/>
        </w:rPr>
      </w:pPr>
    </w:p>
    <w:p w:rsidR="00A269D2" w:rsidRDefault="00A269D2">
      <w:pPr>
        <w:widowControl/>
        <w:spacing w:line="560" w:lineRule="exact"/>
        <w:jc w:val="center"/>
        <w:outlineLvl w:val="1"/>
        <w:rPr>
          <w:rFonts w:ascii="黑体" w:eastAsia="黑体" w:hAnsi="黑体" w:cs="Helvetica"/>
          <w:color w:val="333333"/>
          <w:kern w:val="0"/>
          <w:sz w:val="44"/>
          <w:szCs w:val="44"/>
        </w:rPr>
      </w:pPr>
    </w:p>
    <w:p w:rsidR="00A269D2" w:rsidRDefault="000B6B16">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w:t>
      </w:r>
      <w:r>
        <w:rPr>
          <w:rFonts w:ascii="黑体" w:eastAsia="黑体" w:hAnsi="黑体" w:cs="Helvetica" w:hint="eastAsia"/>
          <w:color w:val="333333"/>
          <w:kern w:val="0"/>
          <w:sz w:val="44"/>
          <w:szCs w:val="44"/>
        </w:rPr>
        <w:t>4</w:t>
      </w:r>
      <w:r>
        <w:rPr>
          <w:rFonts w:ascii="黑体" w:eastAsia="黑体" w:hAnsi="黑体" w:cs="Helvetica" w:hint="eastAsia"/>
          <w:color w:val="333333"/>
          <w:kern w:val="0"/>
          <w:sz w:val="44"/>
          <w:szCs w:val="44"/>
        </w:rPr>
        <w:t>年湖北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宣恩经济社会调查队</w:t>
      </w:r>
      <w:r>
        <w:rPr>
          <w:rFonts w:ascii="黑体" w:eastAsia="黑体" w:hAnsi="黑体" w:cs="Helvetica" w:hint="eastAsia"/>
          <w:color w:val="333333"/>
          <w:kern w:val="0"/>
          <w:sz w:val="44"/>
          <w:szCs w:val="44"/>
        </w:rPr>
        <w:t>预算公开情况</w:t>
      </w:r>
      <w:r>
        <w:rPr>
          <w:rFonts w:ascii="黑体" w:eastAsia="黑体" w:hAnsi="黑体" w:cs="Helvetica"/>
          <w:color w:val="333333"/>
          <w:kern w:val="0"/>
          <w:sz w:val="44"/>
          <w:szCs w:val="44"/>
        </w:rPr>
        <w:t>说明</w:t>
      </w:r>
    </w:p>
    <w:p w:rsidR="00A269D2" w:rsidRDefault="000B6B16">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A269D2" w:rsidRDefault="00A269D2">
      <w:pPr>
        <w:widowControl/>
        <w:spacing w:line="480" w:lineRule="exact"/>
        <w:jc w:val="left"/>
        <w:rPr>
          <w:rFonts w:asciiTheme="minorEastAsia" w:hAnsiTheme="minorEastAsia" w:cs="Helvetica"/>
          <w:color w:val="333333"/>
          <w:kern w:val="0"/>
          <w:sz w:val="24"/>
          <w:szCs w:val="24"/>
        </w:rPr>
      </w:pP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一、单位主要职责</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六、政府采购预算安排情况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A269D2" w:rsidRDefault="000B6B1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十、专业名词解释</w:t>
      </w: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ind w:firstLineChars="200" w:firstLine="640"/>
        <w:rPr>
          <w:rFonts w:ascii="黑体" w:eastAsia="黑体" w:hAnsi="黑体" w:cs="黑体"/>
          <w:color w:val="000000" w:themeColor="text1"/>
          <w:sz w:val="32"/>
          <w:szCs w:val="32"/>
        </w:rPr>
      </w:pPr>
    </w:p>
    <w:p w:rsidR="00A269D2" w:rsidRDefault="00A269D2">
      <w:pPr>
        <w:widowControl/>
        <w:adjustRightInd w:val="0"/>
        <w:spacing w:line="560" w:lineRule="exact"/>
        <w:rPr>
          <w:rFonts w:ascii="黑体" w:eastAsia="黑体" w:hAnsi="黑体" w:cs="黑体"/>
          <w:color w:val="000000" w:themeColor="text1"/>
          <w:sz w:val="32"/>
          <w:szCs w:val="32"/>
        </w:rPr>
      </w:pPr>
    </w:p>
    <w:p w:rsidR="00A269D2" w:rsidRDefault="000B6B1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A269D2" w:rsidRDefault="000B6B16">
      <w:pPr>
        <w:widowControl/>
        <w:spacing w:line="48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A269D2" w:rsidRDefault="000B6B16">
      <w:pPr>
        <w:widowControl/>
        <w:numPr>
          <w:ilvl w:val="0"/>
          <w:numId w:val="1"/>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机构设置情况</w:t>
      </w:r>
    </w:p>
    <w:p w:rsidR="00A269D2" w:rsidRDefault="000B6B16">
      <w:pPr>
        <w:widowControl/>
        <w:adjustRightInd w:val="0"/>
        <w:spacing w:line="560" w:lineRule="exac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宣恩经济社会调查队分设</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个内设机构：调查监测一科、调查监测二科。</w:t>
      </w:r>
      <w:r>
        <w:rPr>
          <w:rFonts w:ascii="仿宋_GB2312" w:eastAsia="仿宋_GB2312" w:hAnsi="仿宋_GB2312" w:cs="仿宋_GB2312" w:hint="eastAsia"/>
          <w:color w:val="000000" w:themeColor="text1"/>
          <w:sz w:val="32"/>
          <w:szCs w:val="32"/>
        </w:rPr>
        <w:br/>
        <w:t xml:space="preserve">    </w:t>
      </w:r>
      <w:r>
        <w:rPr>
          <w:rFonts w:ascii="仿宋_GB2312" w:eastAsia="仿宋_GB2312" w:hAnsi="仿宋_GB2312" w:cs="仿宋_GB2312" w:hint="eastAsia"/>
          <w:color w:val="000000" w:themeColor="text1"/>
          <w:sz w:val="32"/>
          <w:szCs w:val="32"/>
        </w:rPr>
        <w:t>调查监测一科的主要职责是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负责组织实施所辖区域统计数据质量核查工作；配合省局开展统计执法检查工作；负责调查队的日常管理和综合协调工作；完成上级交办的其他工作。</w:t>
      </w:r>
      <w:r>
        <w:rPr>
          <w:rFonts w:ascii="仿宋_GB2312" w:eastAsia="仿宋_GB2312" w:hAnsi="仿宋_GB2312" w:cs="仿宋_GB2312" w:hint="eastAsia"/>
          <w:color w:val="000000" w:themeColor="text1"/>
          <w:sz w:val="32"/>
          <w:szCs w:val="32"/>
        </w:rPr>
        <w:br/>
        <w:t xml:space="preserve">    </w:t>
      </w:r>
      <w:r>
        <w:rPr>
          <w:rFonts w:ascii="仿宋_GB2312" w:eastAsia="仿宋_GB2312" w:hAnsi="仿宋_GB2312" w:cs="仿宋_GB2312" w:hint="eastAsia"/>
          <w:color w:val="000000" w:themeColor="text1"/>
          <w:sz w:val="32"/>
          <w:szCs w:val="32"/>
        </w:rPr>
        <w:t>调查监测二科的主</w:t>
      </w:r>
      <w:r>
        <w:rPr>
          <w:rFonts w:ascii="仿宋_GB2312" w:eastAsia="仿宋_GB2312" w:hAnsi="仿宋_GB2312" w:cs="仿宋_GB2312" w:hint="eastAsia"/>
          <w:color w:val="000000" w:themeColor="text1"/>
          <w:sz w:val="32"/>
          <w:szCs w:val="32"/>
        </w:rPr>
        <w:t>要职责是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组织开展所辖区域内“四下”单位抽样调查工作；承担省局和省调查监测中心安排的重大战略监测、各项专项调查及其他工作；协助地方统计局完成大型国情国力调查；协助地方统计局开展其他相关工作；完成上级交办的其他工作。</w:t>
      </w:r>
    </w:p>
    <w:p w:rsidR="00A269D2" w:rsidRDefault="000B6B16">
      <w:pPr>
        <w:widowControl/>
        <w:numPr>
          <w:ilvl w:val="0"/>
          <w:numId w:val="2"/>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预算收支及增减变化情况</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预算</w:t>
      </w:r>
      <w:r>
        <w:rPr>
          <w:rFonts w:ascii="仿宋_GB2312" w:eastAsia="仿宋_GB2312" w:hAnsi="仿宋_GB2312" w:cs="仿宋_GB2312" w:hint="eastAsia"/>
          <w:color w:val="000000" w:themeColor="text1"/>
          <w:kern w:val="0"/>
          <w:sz w:val="32"/>
          <w:szCs w:val="32"/>
        </w:rPr>
        <w:t>收入为</w:t>
      </w:r>
      <w:r>
        <w:rPr>
          <w:rFonts w:ascii="仿宋_GB2312" w:eastAsia="仿宋_GB2312" w:hAnsi="仿宋_GB2312" w:cs="仿宋_GB2312" w:hint="eastAsia"/>
          <w:color w:val="000000" w:themeColor="text1"/>
          <w:kern w:val="0"/>
          <w:sz w:val="32"/>
          <w:szCs w:val="32"/>
        </w:rPr>
        <w:t>99.77</w:t>
      </w:r>
      <w:r>
        <w:rPr>
          <w:rFonts w:ascii="仿宋_GB2312" w:eastAsia="仿宋_GB2312" w:hAnsi="仿宋_GB2312" w:cs="仿宋_GB2312" w:hint="eastAsia"/>
          <w:color w:val="000000" w:themeColor="text1"/>
          <w:kern w:val="0"/>
          <w:sz w:val="32"/>
          <w:szCs w:val="32"/>
        </w:rPr>
        <w:t>万元，比上年</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24.85</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33.17</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。主要原因是：</w:t>
      </w:r>
      <w:r>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24</w:t>
      </w:r>
      <w:r>
        <w:rPr>
          <w:rFonts w:ascii="仿宋_GB2312" w:eastAsia="仿宋_GB2312" w:hAnsi="仿宋_GB2312" w:cs="仿宋_GB2312" w:hint="eastAsia"/>
          <w:color w:val="000000" w:themeColor="text1"/>
          <w:kern w:val="0"/>
          <w:sz w:val="32"/>
          <w:szCs w:val="32"/>
        </w:rPr>
        <w:t>年拟</w:t>
      </w:r>
      <w:r>
        <w:rPr>
          <w:rFonts w:ascii="仿宋_GB2312" w:eastAsia="仿宋_GB2312" w:hAnsi="仿宋_GB2312" w:cs="仿宋_GB2312" w:hint="eastAsia"/>
          <w:color w:val="000000" w:themeColor="text1"/>
          <w:kern w:val="0"/>
          <w:sz w:val="32"/>
          <w:szCs w:val="32"/>
        </w:rPr>
        <w:t>新进人员</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名</w:t>
      </w:r>
      <w:r>
        <w:rPr>
          <w:rFonts w:ascii="仿宋_GB2312" w:eastAsia="仿宋_GB2312" w:hAnsi="仿宋_GB2312" w:cs="仿宋_GB2312" w:hint="eastAsia"/>
          <w:color w:val="000000" w:themeColor="text1"/>
          <w:kern w:val="0"/>
          <w:sz w:val="32"/>
          <w:szCs w:val="32"/>
        </w:rPr>
        <w:t>。其中：一般公共预算拨款收入</w:t>
      </w:r>
      <w:r>
        <w:rPr>
          <w:rFonts w:ascii="仿宋_GB2312" w:eastAsia="仿宋_GB2312" w:hAnsi="仿宋_GB2312" w:cs="仿宋_GB2312" w:hint="eastAsia"/>
          <w:color w:val="000000" w:themeColor="text1"/>
          <w:kern w:val="0"/>
          <w:sz w:val="32"/>
          <w:szCs w:val="32"/>
        </w:rPr>
        <w:t>99.77</w:t>
      </w:r>
      <w:r>
        <w:rPr>
          <w:rFonts w:ascii="仿宋_GB2312" w:eastAsia="仿宋_GB2312" w:hAnsi="仿宋_GB2312" w:cs="仿宋_GB2312" w:hint="eastAsia"/>
          <w:color w:val="000000" w:themeColor="text1"/>
          <w:kern w:val="0"/>
          <w:sz w:val="32"/>
          <w:szCs w:val="32"/>
        </w:rPr>
        <w:t>万元，比上年增加</w:t>
      </w:r>
      <w:r>
        <w:rPr>
          <w:rFonts w:ascii="仿宋_GB2312" w:eastAsia="仿宋_GB2312" w:hAnsi="仿宋_GB2312" w:cs="仿宋_GB2312" w:hint="eastAsia"/>
          <w:color w:val="000000" w:themeColor="text1"/>
          <w:kern w:val="0"/>
          <w:sz w:val="32"/>
          <w:szCs w:val="32"/>
        </w:rPr>
        <w:t>24.85</w:t>
      </w:r>
      <w:r>
        <w:rPr>
          <w:rFonts w:ascii="仿宋_GB2312" w:eastAsia="仿宋_GB2312" w:hAnsi="仿宋_GB2312" w:cs="仿宋_GB2312" w:hint="eastAsia"/>
          <w:color w:val="000000" w:themeColor="text1"/>
          <w:kern w:val="0"/>
          <w:sz w:val="32"/>
          <w:szCs w:val="32"/>
        </w:rPr>
        <w:t>万元，增加</w:t>
      </w:r>
      <w:r>
        <w:rPr>
          <w:rFonts w:ascii="仿宋_GB2312" w:eastAsia="仿宋_GB2312" w:hAnsi="仿宋_GB2312" w:cs="仿宋_GB2312" w:hint="eastAsia"/>
          <w:color w:val="000000" w:themeColor="text1"/>
          <w:kern w:val="0"/>
          <w:sz w:val="32"/>
          <w:szCs w:val="32"/>
        </w:rPr>
        <w:t>33.17%</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占本年收入的</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，无上年结转经费和其他收入预算。</w:t>
      </w:r>
    </w:p>
    <w:p w:rsidR="00A269D2" w:rsidRDefault="000B6B16">
      <w:pPr>
        <w:widowControl/>
        <w:adjustRightInd w:val="0"/>
        <w:spacing w:line="560" w:lineRule="exact"/>
        <w:ind w:firstLineChars="200" w:firstLine="643"/>
        <w:rPr>
          <w:rFonts w:ascii="仿宋_GB2312" w:eastAsia="仿宋_GB2312" w:hAnsi="仿宋_GB2312" w:cs="仿宋_GB2312"/>
          <w:color w:val="FF0000"/>
          <w:kern w:val="0"/>
          <w:sz w:val="32"/>
          <w:szCs w:val="32"/>
          <w:highlight w:val="yellow"/>
        </w:rPr>
      </w:pPr>
      <w:r>
        <w:rPr>
          <w:rFonts w:ascii="楷体" w:eastAsia="楷体" w:hAnsi="楷体" w:cs="Helvetica" w:hint="eastAsia"/>
          <w:b/>
          <w:bCs/>
          <w:kern w:val="0"/>
          <w:sz w:val="32"/>
          <w:szCs w:val="32"/>
        </w:rPr>
        <w:lastRenderedPageBreak/>
        <w:t>2.</w:t>
      </w:r>
      <w:r>
        <w:rPr>
          <w:rFonts w:ascii="楷体" w:eastAsia="楷体" w:hAnsi="楷体" w:cs="Helvetica" w:hint="eastAsia"/>
          <w:b/>
          <w:bCs/>
          <w:kern w:val="0"/>
          <w:sz w:val="32"/>
          <w:szCs w:val="32"/>
        </w:rPr>
        <w:t>预算支出情况</w:t>
      </w:r>
      <w:r>
        <w:rPr>
          <w:rFonts w:ascii="楷体" w:eastAsia="楷体" w:hAnsi="楷体" w:cs="Helvetica" w:hint="eastAsia"/>
          <w:b/>
          <w:bCs/>
          <w:kern w:val="0"/>
          <w:sz w:val="32"/>
          <w:szCs w:val="32"/>
        </w:rPr>
        <w:t>:</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年预算</w:t>
      </w:r>
      <w:r>
        <w:rPr>
          <w:rFonts w:ascii="仿宋_GB2312" w:eastAsia="仿宋_GB2312" w:hAnsi="仿宋_GB2312" w:cs="仿宋_GB2312" w:hint="eastAsia"/>
          <w:color w:val="000000" w:themeColor="text1"/>
          <w:kern w:val="0"/>
          <w:sz w:val="32"/>
          <w:szCs w:val="32"/>
        </w:rPr>
        <w:t>支出</w:t>
      </w:r>
      <w:r>
        <w:rPr>
          <w:rFonts w:ascii="仿宋_GB2312" w:eastAsia="仿宋_GB2312" w:hAnsi="仿宋_GB2312" w:cs="仿宋_GB2312" w:hint="eastAsia"/>
          <w:color w:val="000000" w:themeColor="text1"/>
          <w:kern w:val="0"/>
          <w:sz w:val="32"/>
          <w:szCs w:val="32"/>
        </w:rPr>
        <w:t>99.77</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比上年增加</w:t>
      </w:r>
      <w:r>
        <w:rPr>
          <w:rFonts w:ascii="仿宋_GB2312" w:eastAsia="仿宋_GB2312" w:hAnsi="仿宋_GB2312" w:cs="仿宋_GB2312" w:hint="eastAsia"/>
          <w:color w:val="000000" w:themeColor="text1"/>
          <w:kern w:val="0"/>
          <w:sz w:val="32"/>
          <w:szCs w:val="32"/>
        </w:rPr>
        <w:t>24.85</w:t>
      </w:r>
      <w:r>
        <w:rPr>
          <w:rFonts w:ascii="仿宋_GB2312" w:eastAsia="仿宋_GB2312" w:hAnsi="仿宋_GB2312" w:cs="仿宋_GB2312" w:hint="eastAsia"/>
          <w:color w:val="000000" w:themeColor="text1"/>
          <w:kern w:val="0"/>
          <w:sz w:val="32"/>
          <w:szCs w:val="32"/>
        </w:rPr>
        <w:t>万元，增加</w:t>
      </w:r>
      <w:r>
        <w:rPr>
          <w:rFonts w:ascii="仿宋_GB2312" w:eastAsia="仿宋_GB2312" w:hAnsi="仿宋_GB2312" w:cs="仿宋_GB2312" w:hint="eastAsia"/>
          <w:color w:val="000000" w:themeColor="text1"/>
          <w:kern w:val="0"/>
          <w:sz w:val="32"/>
          <w:szCs w:val="32"/>
        </w:rPr>
        <w:t>33.17%</w:t>
      </w:r>
      <w:r>
        <w:rPr>
          <w:rFonts w:ascii="仿宋_GB2312" w:eastAsia="仿宋_GB2312" w:hAnsi="仿宋_GB2312" w:cs="仿宋_GB2312" w:hint="eastAsia"/>
          <w:color w:val="000000" w:themeColor="text1"/>
          <w:kern w:val="0"/>
          <w:sz w:val="32"/>
          <w:szCs w:val="32"/>
        </w:rPr>
        <w:t>。其中：一般公共服务支出</w:t>
      </w:r>
      <w:r>
        <w:rPr>
          <w:rFonts w:ascii="仿宋_GB2312" w:eastAsia="仿宋_GB2312" w:hAnsi="仿宋_GB2312" w:cs="仿宋_GB2312" w:hint="eastAsia"/>
          <w:color w:val="000000" w:themeColor="text1"/>
          <w:kern w:val="0"/>
          <w:sz w:val="32"/>
          <w:szCs w:val="32"/>
        </w:rPr>
        <w:t>82.79</w:t>
      </w:r>
      <w:r>
        <w:rPr>
          <w:rFonts w:ascii="仿宋_GB2312" w:eastAsia="仿宋_GB2312" w:hAnsi="仿宋_GB2312" w:cs="仿宋_GB2312" w:hint="eastAsia"/>
          <w:color w:val="000000" w:themeColor="text1"/>
          <w:kern w:val="0"/>
          <w:sz w:val="32"/>
          <w:szCs w:val="32"/>
        </w:rPr>
        <w:t>万元，比上年增加</w:t>
      </w:r>
      <w:r>
        <w:rPr>
          <w:rFonts w:ascii="仿宋_GB2312" w:eastAsia="仿宋_GB2312" w:hAnsi="仿宋_GB2312" w:cs="仿宋_GB2312" w:hint="eastAsia"/>
          <w:color w:val="000000" w:themeColor="text1"/>
          <w:kern w:val="0"/>
          <w:sz w:val="32"/>
          <w:szCs w:val="32"/>
        </w:rPr>
        <w:t>24.87</w:t>
      </w:r>
      <w:r>
        <w:rPr>
          <w:rFonts w:ascii="仿宋_GB2312" w:eastAsia="仿宋_GB2312" w:hAnsi="仿宋_GB2312" w:cs="仿宋_GB2312" w:hint="eastAsia"/>
          <w:color w:val="000000" w:themeColor="text1"/>
          <w:kern w:val="0"/>
          <w:sz w:val="32"/>
          <w:szCs w:val="32"/>
        </w:rPr>
        <w:t>万元，增加</w:t>
      </w:r>
      <w:r>
        <w:rPr>
          <w:rFonts w:ascii="仿宋_GB2312" w:eastAsia="仿宋_GB2312" w:hAnsi="仿宋_GB2312" w:cs="仿宋_GB2312" w:hint="eastAsia"/>
          <w:color w:val="000000" w:themeColor="text1"/>
          <w:kern w:val="0"/>
          <w:sz w:val="32"/>
          <w:szCs w:val="32"/>
        </w:rPr>
        <w:t>42.94</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；社会保障和就业支出</w:t>
      </w:r>
      <w:r>
        <w:rPr>
          <w:rFonts w:ascii="仿宋_GB2312" w:eastAsia="仿宋_GB2312" w:hAnsi="仿宋_GB2312" w:cs="仿宋_GB2312" w:hint="eastAsia"/>
          <w:color w:val="000000" w:themeColor="text1"/>
          <w:kern w:val="0"/>
          <w:sz w:val="32"/>
          <w:szCs w:val="32"/>
        </w:rPr>
        <w:t>11.39</w:t>
      </w:r>
      <w:r>
        <w:rPr>
          <w:rFonts w:ascii="仿宋_GB2312" w:eastAsia="仿宋_GB2312" w:hAnsi="仿宋_GB2312" w:cs="仿宋_GB2312" w:hint="eastAsia"/>
          <w:color w:val="000000" w:themeColor="text1"/>
          <w:kern w:val="0"/>
          <w:sz w:val="32"/>
          <w:szCs w:val="32"/>
        </w:rPr>
        <w:t>万元，比上年减少</w:t>
      </w:r>
      <w:r>
        <w:rPr>
          <w:rFonts w:ascii="仿宋_GB2312" w:eastAsia="仿宋_GB2312" w:hAnsi="仿宋_GB2312" w:cs="仿宋_GB2312" w:hint="eastAsia"/>
          <w:color w:val="000000" w:themeColor="text1"/>
          <w:kern w:val="0"/>
          <w:sz w:val="32"/>
          <w:szCs w:val="32"/>
        </w:rPr>
        <w:t>0.76</w:t>
      </w:r>
      <w:r>
        <w:rPr>
          <w:rFonts w:ascii="仿宋_GB2312" w:eastAsia="仿宋_GB2312" w:hAnsi="仿宋_GB2312" w:cs="仿宋_GB2312" w:hint="eastAsia"/>
          <w:color w:val="000000" w:themeColor="text1"/>
          <w:kern w:val="0"/>
          <w:sz w:val="32"/>
          <w:szCs w:val="32"/>
        </w:rPr>
        <w:t>万元，减</w:t>
      </w:r>
      <w:r>
        <w:rPr>
          <w:rFonts w:ascii="仿宋_GB2312" w:eastAsia="仿宋_GB2312" w:hAnsi="仿宋_GB2312" w:cs="仿宋_GB2312" w:hint="eastAsia"/>
          <w:color w:val="000000" w:themeColor="text1"/>
          <w:kern w:val="0"/>
          <w:sz w:val="32"/>
          <w:szCs w:val="32"/>
        </w:rPr>
        <w:t>少</w:t>
      </w:r>
      <w:r>
        <w:rPr>
          <w:rFonts w:ascii="仿宋_GB2312" w:eastAsia="仿宋_GB2312" w:hAnsi="仿宋_GB2312" w:cs="仿宋_GB2312" w:hint="eastAsia"/>
          <w:color w:val="000000" w:themeColor="text1"/>
          <w:kern w:val="0"/>
          <w:sz w:val="32"/>
          <w:szCs w:val="32"/>
        </w:rPr>
        <w:t>6.26</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；住房保障支出</w:t>
      </w:r>
      <w:r>
        <w:rPr>
          <w:rFonts w:ascii="仿宋_GB2312" w:eastAsia="仿宋_GB2312" w:hAnsi="仿宋_GB2312" w:cs="仿宋_GB2312" w:hint="eastAsia"/>
          <w:color w:val="000000" w:themeColor="text1"/>
          <w:kern w:val="0"/>
          <w:sz w:val="32"/>
          <w:szCs w:val="32"/>
        </w:rPr>
        <w:t>5.59</w:t>
      </w:r>
      <w:r>
        <w:rPr>
          <w:rFonts w:ascii="仿宋_GB2312" w:eastAsia="仿宋_GB2312" w:hAnsi="仿宋_GB2312" w:cs="仿宋_GB2312" w:hint="eastAsia"/>
          <w:color w:val="000000" w:themeColor="text1"/>
          <w:kern w:val="0"/>
          <w:sz w:val="32"/>
          <w:szCs w:val="32"/>
        </w:rPr>
        <w:t>万元，比上年增加</w:t>
      </w:r>
      <w:r>
        <w:rPr>
          <w:rFonts w:ascii="仿宋_GB2312" w:eastAsia="仿宋_GB2312" w:hAnsi="仿宋_GB2312" w:cs="仿宋_GB2312" w:hint="eastAsia"/>
          <w:color w:val="000000" w:themeColor="text1"/>
          <w:kern w:val="0"/>
          <w:sz w:val="32"/>
          <w:szCs w:val="32"/>
        </w:rPr>
        <w:t>0.74</w:t>
      </w:r>
      <w:r>
        <w:rPr>
          <w:rFonts w:ascii="仿宋_GB2312" w:eastAsia="仿宋_GB2312" w:hAnsi="仿宋_GB2312" w:cs="仿宋_GB2312" w:hint="eastAsia"/>
          <w:color w:val="000000" w:themeColor="text1"/>
          <w:kern w:val="0"/>
          <w:sz w:val="32"/>
          <w:szCs w:val="32"/>
        </w:rPr>
        <w:t>万元，增加</w:t>
      </w:r>
      <w:r>
        <w:rPr>
          <w:rFonts w:ascii="仿宋_GB2312" w:eastAsia="仿宋_GB2312" w:hAnsi="仿宋_GB2312" w:cs="仿宋_GB2312" w:hint="eastAsia"/>
          <w:color w:val="000000" w:themeColor="text1"/>
          <w:kern w:val="0"/>
          <w:sz w:val="32"/>
          <w:szCs w:val="32"/>
        </w:rPr>
        <w:t>15.26</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支出</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原因：</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基本支出</w:t>
      </w:r>
      <w:r>
        <w:rPr>
          <w:rFonts w:ascii="仿宋_GB2312" w:eastAsia="仿宋_GB2312" w:hAnsi="仿宋_GB2312" w:cs="仿宋_GB2312" w:hint="eastAsia"/>
          <w:color w:val="000000" w:themeColor="text1"/>
          <w:kern w:val="0"/>
          <w:sz w:val="32"/>
          <w:szCs w:val="32"/>
        </w:rPr>
        <w:t>92.77</w:t>
      </w:r>
      <w:r>
        <w:rPr>
          <w:rFonts w:ascii="仿宋_GB2312" w:eastAsia="仿宋_GB2312" w:hAnsi="仿宋_GB2312" w:cs="仿宋_GB2312" w:hint="eastAsia"/>
          <w:color w:val="000000" w:themeColor="text1"/>
          <w:kern w:val="0"/>
          <w:sz w:val="32"/>
          <w:szCs w:val="32"/>
        </w:rPr>
        <w:t>万元，比上年</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24.85</w:t>
      </w:r>
      <w:r>
        <w:rPr>
          <w:rFonts w:ascii="仿宋_GB2312" w:eastAsia="仿宋_GB2312" w:hAnsi="仿宋_GB2312" w:cs="仿宋_GB2312" w:hint="eastAsia"/>
          <w:color w:val="000000" w:themeColor="text1"/>
          <w:kern w:val="0"/>
          <w:sz w:val="32"/>
          <w:szCs w:val="32"/>
        </w:rPr>
        <w:t>万元，增加</w:t>
      </w:r>
      <w:r>
        <w:rPr>
          <w:rFonts w:ascii="仿宋_GB2312" w:eastAsia="仿宋_GB2312" w:hAnsi="仿宋_GB2312" w:cs="仿宋_GB2312" w:hint="eastAsia"/>
          <w:color w:val="000000" w:themeColor="text1"/>
          <w:kern w:val="0"/>
          <w:sz w:val="32"/>
          <w:szCs w:val="32"/>
        </w:rPr>
        <w:t>33.17%</w:t>
      </w:r>
      <w:r>
        <w:rPr>
          <w:rFonts w:ascii="仿宋_GB2312" w:eastAsia="仿宋_GB2312" w:hAnsi="仿宋_GB2312" w:cs="仿宋_GB2312" w:hint="eastAsia"/>
          <w:color w:val="000000" w:themeColor="text1"/>
          <w:kern w:val="0"/>
          <w:sz w:val="32"/>
          <w:szCs w:val="32"/>
        </w:rPr>
        <w:t>。主要原因是：</w:t>
      </w:r>
      <w:r>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24</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拟新进人员</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名。</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14:textFill>
            <w14:gradFill>
              <w14:gsLst>
                <w14:gs w14:pos="0">
                  <w14:srgbClr w14:val="FE4444"/>
                </w14:gs>
                <w14:gs w14:pos="100000">
                  <w14:srgbClr w14:val="832B2B"/>
                </w14:gs>
              </w14:gsLst>
              <w14:lin w14:ang="0" w14:scaled="0"/>
            </w14:gradFill>
          </w14:textFill>
        </w:rPr>
      </w:pP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年项目支</w:t>
      </w:r>
      <w:r>
        <w:rPr>
          <w:rFonts w:ascii="仿宋_GB2312" w:eastAsia="仿宋_GB2312" w:hAnsi="仿宋_GB2312" w:cs="仿宋_GB2312" w:hint="eastAsia"/>
          <w:color w:val="000000" w:themeColor="text1"/>
          <w:kern w:val="0"/>
          <w:sz w:val="32"/>
          <w:szCs w:val="32"/>
        </w:rPr>
        <w:t>出</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年项目支出与上年保持一致</w:t>
      </w:r>
      <w:r>
        <w:rPr>
          <w:rFonts w:ascii="仿宋_GB2312" w:eastAsia="仿宋_GB2312" w:hAnsi="仿宋_GB2312" w:cs="仿宋_GB2312" w:hint="eastAsia"/>
          <w:color w:val="000000" w:themeColor="text1"/>
          <w:kern w:val="0"/>
          <w:sz w:val="32"/>
          <w:szCs w:val="32"/>
        </w:rPr>
        <w:t>。</w:t>
      </w:r>
    </w:p>
    <w:p w:rsidR="00A269D2" w:rsidRDefault="000B6B16">
      <w:pPr>
        <w:adjustRightInd w:val="0"/>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color w:val="FF0000"/>
          <w:kern w:val="0"/>
          <w:sz w:val="32"/>
          <w:szCs w:val="32"/>
        </w:rPr>
        <w:t xml:space="preserve"> </w:t>
      </w:r>
      <w:r>
        <w:rPr>
          <w:rFonts w:ascii="黑体" w:eastAsia="黑体" w:hAnsi="黑体" w:cs="黑体" w:hint="eastAsia"/>
          <w:kern w:val="0"/>
          <w:sz w:val="32"/>
          <w:szCs w:val="32"/>
        </w:rPr>
        <w:t>四、机关运行经费安排情况</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年我单位</w:t>
      </w:r>
      <w:r>
        <w:rPr>
          <w:rFonts w:ascii="仿宋_GB2312" w:eastAsia="仿宋_GB2312" w:hAnsi="仿宋_GB2312" w:cs="仿宋_GB2312" w:hint="eastAsia"/>
          <w:color w:val="000000" w:themeColor="text1"/>
          <w:kern w:val="0"/>
          <w:sz w:val="32"/>
          <w:szCs w:val="32"/>
        </w:rPr>
        <w:t>机关运行经费预算总额为</w:t>
      </w:r>
      <w:r>
        <w:rPr>
          <w:rFonts w:ascii="仿宋_GB2312" w:eastAsia="仿宋_GB2312" w:hAnsi="仿宋_GB2312" w:cs="仿宋_GB2312" w:hint="eastAsia"/>
          <w:color w:val="000000" w:themeColor="text1"/>
          <w:kern w:val="0"/>
          <w:sz w:val="32"/>
          <w:szCs w:val="32"/>
        </w:rPr>
        <w:t>10.8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sz w:val="32"/>
          <w:szCs w:val="32"/>
        </w:rPr>
        <w:t>全部为商品和服务支出</w:t>
      </w:r>
      <w:r>
        <w:rPr>
          <w:rFonts w:ascii="仿宋_GB2312" w:eastAsia="仿宋_GB2312" w:hAnsi="仿宋_GB2312" w:cs="仿宋_GB2312" w:hint="eastAsia"/>
          <w:color w:val="000000" w:themeColor="text1"/>
          <w:sz w:val="32"/>
          <w:szCs w:val="32"/>
        </w:rPr>
        <w:t>。较上年相比</w:t>
      </w:r>
      <w:r>
        <w:rPr>
          <w:rFonts w:ascii="仿宋_GB2312" w:eastAsia="仿宋_GB2312" w:hAnsi="仿宋_GB2312" w:cs="仿宋_GB2312" w:hint="eastAsia"/>
          <w:color w:val="000000" w:themeColor="text1"/>
          <w:sz w:val="32"/>
          <w:szCs w:val="32"/>
        </w:rPr>
        <w:t>增加</w:t>
      </w:r>
      <w:r>
        <w:rPr>
          <w:rFonts w:ascii="仿宋_GB2312" w:eastAsia="仿宋_GB2312" w:hAnsi="仿宋_GB2312" w:cs="仿宋_GB2312" w:hint="eastAsia"/>
          <w:color w:val="000000" w:themeColor="text1"/>
          <w:sz w:val="32"/>
          <w:szCs w:val="32"/>
        </w:rPr>
        <w:t>2.8</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增加</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增加</w:t>
      </w:r>
      <w:r>
        <w:rPr>
          <w:rFonts w:ascii="仿宋_GB2312" w:eastAsia="仿宋_GB2312" w:hAnsi="仿宋_GB2312" w:cs="仿宋_GB2312" w:hint="eastAsia"/>
          <w:color w:val="000000" w:themeColor="text1"/>
          <w:sz w:val="32"/>
          <w:szCs w:val="32"/>
        </w:rPr>
        <w:t>主要原因是：</w:t>
      </w:r>
      <w:r>
        <w:rPr>
          <w:rFonts w:ascii="仿宋_GB2312" w:eastAsia="仿宋_GB2312" w:hAnsi="仿宋_GB2312" w:cs="仿宋_GB2312" w:hint="eastAsia"/>
          <w:color w:val="000000" w:themeColor="text1"/>
          <w:sz w:val="32"/>
          <w:szCs w:val="32"/>
        </w:rPr>
        <w:t>增加了办公费、</w:t>
      </w:r>
      <w:r>
        <w:rPr>
          <w:rFonts w:ascii="仿宋_GB2312" w:eastAsia="仿宋_GB2312" w:hAnsi="仿宋_GB2312" w:cs="仿宋_GB2312" w:hint="eastAsia"/>
          <w:color w:val="000000" w:themeColor="text1"/>
          <w:kern w:val="0"/>
          <w:sz w:val="32"/>
          <w:szCs w:val="32"/>
        </w:rPr>
        <w:t>其他商品和服务支出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其中</w:t>
      </w:r>
      <w:r>
        <w:rPr>
          <w:rFonts w:ascii="仿宋_GB2312" w:eastAsia="仿宋_GB2312" w:hAnsi="仿宋_GB2312" w:cs="仿宋_GB2312" w:hint="eastAsia"/>
          <w:color w:val="000000" w:themeColor="text1"/>
          <w:kern w:val="0"/>
          <w:sz w:val="32"/>
          <w:szCs w:val="32"/>
        </w:rPr>
        <w:t>办公费</w:t>
      </w:r>
      <w:r>
        <w:rPr>
          <w:rFonts w:ascii="仿宋_GB2312" w:eastAsia="仿宋_GB2312" w:hAnsi="仿宋_GB2312" w:cs="仿宋_GB2312" w:hint="eastAsia"/>
          <w:color w:val="000000" w:themeColor="text1"/>
          <w:kern w:val="0"/>
          <w:sz w:val="32"/>
          <w:szCs w:val="32"/>
        </w:rPr>
        <w:t>1.53</w:t>
      </w:r>
      <w:r>
        <w:rPr>
          <w:rFonts w:ascii="仿宋_GB2312" w:eastAsia="仿宋_GB2312" w:hAnsi="仿宋_GB2312" w:cs="仿宋_GB2312" w:hint="eastAsia"/>
          <w:color w:val="000000" w:themeColor="text1"/>
          <w:kern w:val="0"/>
          <w:sz w:val="32"/>
          <w:szCs w:val="32"/>
        </w:rPr>
        <w:t>万元，差旅费</w:t>
      </w:r>
      <w:r>
        <w:rPr>
          <w:rFonts w:ascii="仿宋_GB2312" w:eastAsia="仿宋_GB2312" w:hAnsi="仿宋_GB2312" w:cs="仿宋_GB2312" w:hint="eastAsia"/>
          <w:color w:val="000000" w:themeColor="text1"/>
          <w:kern w:val="0"/>
          <w:sz w:val="32"/>
          <w:szCs w:val="32"/>
        </w:rPr>
        <w:t>1.41</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培训费</w:t>
      </w:r>
      <w:r>
        <w:rPr>
          <w:rFonts w:ascii="仿宋_GB2312" w:eastAsia="仿宋_GB2312" w:hAnsi="仿宋_GB2312" w:cs="仿宋_GB2312" w:hint="eastAsia"/>
          <w:color w:val="000000" w:themeColor="text1"/>
          <w:kern w:val="0"/>
          <w:sz w:val="32"/>
          <w:szCs w:val="32"/>
        </w:rPr>
        <w:t>1.32</w:t>
      </w:r>
      <w:r>
        <w:rPr>
          <w:rFonts w:ascii="仿宋_GB2312" w:eastAsia="仿宋_GB2312" w:hAnsi="仿宋_GB2312" w:cs="仿宋_GB2312" w:hint="eastAsia"/>
          <w:color w:val="000000" w:themeColor="text1"/>
          <w:kern w:val="0"/>
          <w:sz w:val="32"/>
          <w:szCs w:val="32"/>
        </w:rPr>
        <w:t>万元，劳务费</w:t>
      </w:r>
      <w:r>
        <w:rPr>
          <w:rFonts w:ascii="仿宋_GB2312" w:eastAsia="仿宋_GB2312" w:hAnsi="仿宋_GB2312" w:cs="仿宋_GB2312" w:hint="eastAsia"/>
          <w:color w:val="000000" w:themeColor="text1"/>
          <w:kern w:val="0"/>
          <w:sz w:val="32"/>
          <w:szCs w:val="32"/>
        </w:rPr>
        <w:t>1.04</w:t>
      </w:r>
      <w:r>
        <w:rPr>
          <w:rFonts w:ascii="仿宋_GB2312" w:eastAsia="仿宋_GB2312" w:hAnsi="仿宋_GB2312" w:cs="仿宋_GB2312" w:hint="eastAsia"/>
          <w:color w:val="000000" w:themeColor="text1"/>
          <w:kern w:val="0"/>
          <w:sz w:val="32"/>
          <w:szCs w:val="32"/>
        </w:rPr>
        <w:t>万元，福利费</w:t>
      </w:r>
      <w:r>
        <w:rPr>
          <w:rFonts w:ascii="仿宋_GB2312" w:eastAsia="仿宋_GB2312" w:hAnsi="仿宋_GB2312" w:cs="仿宋_GB2312" w:hint="eastAsia"/>
          <w:color w:val="000000" w:themeColor="text1"/>
          <w:kern w:val="0"/>
          <w:sz w:val="32"/>
          <w:szCs w:val="32"/>
        </w:rPr>
        <w:t>1.45</w:t>
      </w:r>
      <w:r>
        <w:rPr>
          <w:rFonts w:ascii="仿宋_GB2312" w:eastAsia="仿宋_GB2312" w:hAnsi="仿宋_GB2312" w:cs="仿宋_GB2312" w:hint="eastAsia"/>
          <w:color w:val="000000" w:themeColor="text1"/>
          <w:kern w:val="0"/>
          <w:sz w:val="32"/>
          <w:szCs w:val="32"/>
        </w:rPr>
        <w:t>万元，其他商品和服务支出</w:t>
      </w:r>
      <w:r>
        <w:rPr>
          <w:rFonts w:ascii="仿宋_GB2312" w:eastAsia="仿宋_GB2312" w:hAnsi="仿宋_GB2312" w:cs="仿宋_GB2312" w:hint="eastAsia"/>
          <w:color w:val="000000" w:themeColor="text1"/>
          <w:kern w:val="0"/>
          <w:sz w:val="32"/>
          <w:szCs w:val="32"/>
        </w:rPr>
        <w:t>3.00</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，其他交通费用</w:t>
      </w:r>
      <w:r>
        <w:rPr>
          <w:rFonts w:ascii="仿宋_GB2312" w:eastAsia="仿宋_GB2312" w:hAnsi="仿宋_GB2312" w:cs="仿宋_GB2312" w:hint="eastAsia"/>
          <w:color w:val="000000" w:themeColor="text1"/>
          <w:kern w:val="0"/>
          <w:sz w:val="32"/>
          <w:szCs w:val="32"/>
        </w:rPr>
        <w:t>1.05</w:t>
      </w:r>
      <w:r>
        <w:rPr>
          <w:rFonts w:ascii="仿宋_GB2312" w:eastAsia="仿宋_GB2312" w:hAnsi="仿宋_GB2312" w:cs="仿宋_GB2312" w:hint="eastAsia"/>
          <w:color w:val="000000" w:themeColor="text1"/>
          <w:kern w:val="0"/>
          <w:sz w:val="32"/>
          <w:szCs w:val="32"/>
        </w:rPr>
        <w:t>万元。</w:t>
      </w:r>
    </w:p>
    <w:p w:rsidR="00A269D2" w:rsidRDefault="000B6B1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w:t>
      </w:r>
      <w:r>
        <w:rPr>
          <w:rFonts w:ascii="黑体" w:eastAsia="黑体" w:hAnsi="黑体" w:cs="黑体" w:hint="eastAsia"/>
          <w:kern w:val="0"/>
          <w:sz w:val="32"/>
          <w:szCs w:val="32"/>
        </w:rPr>
        <w:t>一般公共预算“三公”经费及增减变化情况</w:t>
      </w:r>
    </w:p>
    <w:p w:rsidR="003B3B8A" w:rsidRDefault="003B3B8A" w:rsidP="003B3B8A">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3B3B8A" w:rsidRDefault="003B3B8A" w:rsidP="003B3B8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B3B8A" w:rsidRDefault="003B3B8A" w:rsidP="003B3B8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B3B8A" w:rsidRDefault="003B3B8A" w:rsidP="003B3B8A">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lastRenderedPageBreak/>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A269D2" w:rsidRDefault="000B6B1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政府采购</w:t>
      </w:r>
      <w:r>
        <w:rPr>
          <w:rFonts w:ascii="黑体" w:eastAsia="黑体" w:hAnsi="黑体" w:cs="黑体" w:hint="eastAsia"/>
          <w:color w:val="000000" w:themeColor="text1"/>
          <w:kern w:val="0"/>
          <w:sz w:val="32"/>
          <w:szCs w:val="32"/>
        </w:rPr>
        <w:t>安排情况说明</w:t>
      </w:r>
    </w:p>
    <w:p w:rsidR="00A269D2" w:rsidRDefault="000B6B16">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hint="eastAsi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r>
        <w:rPr>
          <w:rFonts w:ascii="仿宋" w:eastAsia="仿宋" w:hAnsi="仿宋" w:cs="Helvetica"/>
          <w:bCs/>
          <w:kern w:val="0"/>
          <w:sz w:val="32"/>
          <w:szCs w:val="32"/>
        </w:rPr>
        <w:t>，</w:t>
      </w:r>
      <w:r>
        <w:rPr>
          <w:rFonts w:ascii="仿宋_GB2312" w:eastAsia="仿宋_GB2312" w:hint="eastAsia"/>
          <w:sz w:val="32"/>
        </w:rPr>
        <w:t>与上年持平</w:t>
      </w:r>
      <w:r>
        <w:rPr>
          <w:rFonts w:ascii="仿宋_GB2312" w:eastAsia="仿宋_GB2312" w:hint="eastAsia"/>
          <w:sz w:val="32"/>
        </w:rPr>
        <w:t>。其中</w:t>
      </w:r>
      <w:r>
        <w:rPr>
          <w:rFonts w:ascii="仿宋_GB2312" w:eastAsia="仿宋_GB2312"/>
          <w:sz w:val="32"/>
        </w:rPr>
        <w:t>：货物类政府采购预算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工程</w:t>
      </w:r>
      <w:r>
        <w:rPr>
          <w:rFonts w:ascii="仿宋_GB2312" w:eastAsia="仿宋_GB2312"/>
          <w:sz w:val="32"/>
        </w:rPr>
        <w:t>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服务</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p>
    <w:p w:rsidR="00A269D2" w:rsidRDefault="000B6B16">
      <w:pPr>
        <w:widowControl/>
        <w:spacing w:line="520" w:lineRule="exact"/>
        <w:ind w:firstLineChars="200" w:firstLine="640"/>
        <w:rPr>
          <w:rFonts w:ascii="仿宋_GB2312" w:eastAsia="仿宋_GB2312"/>
          <w:sz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A269D2" w:rsidRDefault="000B6B1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国有资产占用情况</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截至</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年，我单位占有房屋面积</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平方米，其中：办公用房建筑面积</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平方米，其他</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平方米。公务用车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辆，其中：副省级干部及上以领导干部用车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辆、机要通信用车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辆、应急保障用车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辆、执法勤用车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辆、特种专业技术用车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辆、其他用车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辆，其他用车主要是无。单价</w:t>
      </w:r>
      <w:r>
        <w:rPr>
          <w:rFonts w:ascii="仿宋_GB2312" w:eastAsia="仿宋_GB2312" w:hAnsi="仿宋_GB2312" w:cs="仿宋_GB2312" w:hint="eastAsia"/>
          <w:color w:val="000000" w:themeColor="text1"/>
          <w:kern w:val="0"/>
          <w:sz w:val="32"/>
          <w:szCs w:val="32"/>
        </w:rPr>
        <w:t>50</w:t>
      </w:r>
      <w:r>
        <w:rPr>
          <w:rFonts w:ascii="仿宋_GB2312" w:eastAsia="仿宋_GB2312" w:hAnsi="仿宋_GB2312" w:cs="仿宋_GB2312" w:hint="eastAsia"/>
          <w:color w:val="000000" w:themeColor="text1"/>
          <w:kern w:val="0"/>
          <w:sz w:val="32"/>
          <w:szCs w:val="32"/>
        </w:rPr>
        <w:t>万元以上的通用设备</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台（套），单价</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万元以上的专用设备数量为</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台（套）。</w:t>
      </w:r>
    </w:p>
    <w:p w:rsidR="00A269D2" w:rsidRDefault="000B6B16">
      <w:pPr>
        <w:widowControl/>
        <w:numPr>
          <w:ilvl w:val="0"/>
          <w:numId w:val="3"/>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重点项目</w:t>
      </w:r>
      <w:r>
        <w:rPr>
          <w:rFonts w:ascii="黑体" w:eastAsia="黑体" w:hAnsi="黑体" w:cs="黑体" w:hint="eastAsia"/>
          <w:color w:val="000000" w:themeColor="text1"/>
          <w:kern w:val="0"/>
          <w:sz w:val="32"/>
          <w:szCs w:val="32"/>
        </w:rPr>
        <w:t>绩效情况</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“全省统计执法专项经费”主要内容是：一是对执法骨干</w:t>
      </w:r>
      <w:r>
        <w:rPr>
          <w:rFonts w:ascii="仿宋_GB2312" w:eastAsia="仿宋_GB2312" w:hAnsi="仿宋_GB2312" w:cs="仿宋_GB2312" w:hint="eastAsia"/>
          <w:color w:val="000000" w:themeColor="text1"/>
          <w:kern w:val="0"/>
          <w:sz w:val="32"/>
          <w:szCs w:val="32"/>
        </w:rPr>
        <w:t>及企业统计员</w:t>
      </w:r>
      <w:r>
        <w:rPr>
          <w:rFonts w:ascii="仿宋_GB2312" w:eastAsia="仿宋_GB2312" w:hAnsi="仿宋_GB2312" w:cs="仿宋_GB2312" w:hint="eastAsia"/>
          <w:color w:val="000000" w:themeColor="text1"/>
          <w:kern w:val="0"/>
          <w:sz w:val="32"/>
          <w:szCs w:val="32"/>
        </w:rPr>
        <w:t>开展业务培训；二是</w:t>
      </w:r>
      <w:r>
        <w:rPr>
          <w:rFonts w:ascii="仿宋_GB2312" w:eastAsia="仿宋_GB2312" w:hAnsi="仿宋_GB2312" w:cs="仿宋_GB2312" w:hint="eastAsia"/>
          <w:color w:val="000000" w:themeColor="text1"/>
          <w:kern w:val="0"/>
          <w:sz w:val="32"/>
          <w:szCs w:val="32"/>
        </w:rPr>
        <w:t>组织</w:t>
      </w:r>
      <w:r>
        <w:rPr>
          <w:rFonts w:ascii="仿宋_GB2312" w:eastAsia="仿宋_GB2312" w:hAnsi="仿宋_GB2312" w:cs="仿宋_GB2312" w:hint="eastAsia"/>
          <w:color w:val="000000" w:themeColor="text1"/>
          <w:kern w:val="0"/>
          <w:sz w:val="32"/>
          <w:szCs w:val="32"/>
        </w:rPr>
        <w:t>开展统计执法</w:t>
      </w:r>
      <w:r>
        <w:rPr>
          <w:rFonts w:ascii="仿宋_GB2312" w:eastAsia="仿宋_GB2312" w:hAnsi="仿宋_GB2312" w:cs="仿宋_GB2312" w:hint="eastAsia"/>
          <w:color w:val="000000" w:themeColor="text1"/>
          <w:kern w:val="0"/>
          <w:sz w:val="32"/>
          <w:szCs w:val="32"/>
        </w:rPr>
        <w:t>法制法规</w:t>
      </w:r>
      <w:r>
        <w:rPr>
          <w:rFonts w:ascii="仿宋_GB2312" w:eastAsia="仿宋_GB2312" w:hAnsi="仿宋_GB2312" w:cs="仿宋_GB2312" w:hint="eastAsia"/>
          <w:color w:val="000000" w:themeColor="text1"/>
          <w:kern w:val="0"/>
          <w:sz w:val="32"/>
          <w:szCs w:val="32"/>
        </w:rPr>
        <w:t>宣传</w:t>
      </w:r>
      <w:r>
        <w:rPr>
          <w:rFonts w:ascii="仿宋_GB2312" w:eastAsia="仿宋_GB2312" w:hAnsi="仿宋_GB2312" w:cs="仿宋_GB2312" w:hint="eastAsia"/>
          <w:color w:val="000000" w:themeColor="text1"/>
          <w:kern w:val="0"/>
          <w:sz w:val="32"/>
          <w:szCs w:val="32"/>
        </w:rPr>
        <w:t>活动</w:t>
      </w:r>
      <w:r>
        <w:rPr>
          <w:rFonts w:ascii="仿宋_GB2312" w:eastAsia="仿宋_GB2312" w:hAnsi="仿宋_GB2312" w:cs="仿宋_GB2312" w:hint="eastAsia"/>
          <w:color w:val="000000" w:themeColor="text1"/>
          <w:kern w:val="0"/>
          <w:sz w:val="32"/>
          <w:szCs w:val="32"/>
        </w:rPr>
        <w:t>；三是开展执法检查、督办以及</w:t>
      </w:r>
      <w:r>
        <w:rPr>
          <w:rFonts w:ascii="仿宋_GB2312" w:eastAsia="仿宋_GB2312" w:hAnsi="仿宋_GB2312" w:cs="仿宋_GB2312" w:hint="eastAsia"/>
          <w:color w:val="000000" w:themeColor="text1"/>
          <w:kern w:val="0"/>
          <w:sz w:val="32"/>
          <w:szCs w:val="32"/>
        </w:rPr>
        <w:t>常规性</w:t>
      </w:r>
      <w:r>
        <w:rPr>
          <w:rFonts w:ascii="仿宋_GB2312" w:eastAsia="仿宋_GB2312" w:hAnsi="仿宋_GB2312" w:cs="仿宋_GB2312" w:hint="eastAsia"/>
          <w:color w:val="000000" w:themeColor="text1"/>
          <w:kern w:val="0"/>
          <w:sz w:val="32"/>
          <w:szCs w:val="32"/>
        </w:rPr>
        <w:t>数据质</w:t>
      </w:r>
      <w:r>
        <w:rPr>
          <w:rFonts w:ascii="仿宋_GB2312" w:eastAsia="仿宋_GB2312" w:hAnsi="仿宋_GB2312" w:cs="仿宋_GB2312" w:hint="eastAsia"/>
          <w:color w:val="000000" w:themeColor="text1"/>
          <w:kern w:val="0"/>
          <w:sz w:val="32"/>
          <w:szCs w:val="32"/>
        </w:rPr>
        <w:lastRenderedPageBreak/>
        <w:t>量抽查；</w:t>
      </w:r>
      <w:r>
        <w:rPr>
          <w:rFonts w:ascii="仿宋_GB2312" w:eastAsia="仿宋_GB2312" w:hAnsi="仿宋_GB2312" w:cs="仿宋_GB2312" w:hint="eastAsia"/>
          <w:color w:val="000000" w:themeColor="text1"/>
          <w:kern w:val="0"/>
          <w:sz w:val="32"/>
          <w:szCs w:val="32"/>
        </w:rPr>
        <w:t>四</w:t>
      </w:r>
      <w:r>
        <w:rPr>
          <w:rFonts w:ascii="仿宋_GB2312" w:eastAsia="仿宋_GB2312" w:hAnsi="仿宋_GB2312" w:cs="仿宋_GB2312" w:hint="eastAsia"/>
          <w:color w:val="000000" w:themeColor="text1"/>
          <w:kern w:val="0"/>
          <w:sz w:val="32"/>
          <w:szCs w:val="32"/>
        </w:rPr>
        <w:t>是</w:t>
      </w:r>
      <w:r>
        <w:rPr>
          <w:rFonts w:ascii="仿宋_GB2312" w:eastAsia="仿宋_GB2312" w:hAnsi="仿宋_GB2312" w:cs="仿宋_GB2312" w:hint="eastAsia"/>
          <w:color w:val="000000" w:themeColor="text1"/>
          <w:kern w:val="0"/>
          <w:sz w:val="32"/>
          <w:szCs w:val="32"/>
        </w:rPr>
        <w:t>完成</w:t>
      </w:r>
      <w:r>
        <w:rPr>
          <w:rFonts w:ascii="仿宋_GB2312" w:eastAsia="仿宋_GB2312" w:hAnsi="仿宋_GB2312" w:cs="仿宋_GB2312" w:hint="eastAsia"/>
          <w:color w:val="000000" w:themeColor="text1"/>
          <w:kern w:val="0"/>
          <w:sz w:val="32"/>
          <w:szCs w:val="32"/>
        </w:rPr>
        <w:t>其他应急执法检查和专项检查任务。</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年预算安排</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万元，全部为当年一般公共预算财政拨款。</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项目绩效总目标是：健全统计执法机制，强化统计基层基础工作建设，规范开展统计执法检查工作，严肃查处违法行为，不断提高统计数据真实性；广泛开展统计普法宣传，提升统计法治意识。</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数量指标：印制数据产品完成率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；抽查企业数量≥</w:t>
      </w:r>
      <w:r>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家；季度数据质量核查次数</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次；统计普法宣传工作落实率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；培训完成率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；违法案件处理率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；数据质量核查结果反馈落实率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 xml:space="preserve"> </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社会效益指标：统计督察意</w:t>
      </w:r>
      <w:r>
        <w:rPr>
          <w:rFonts w:ascii="仿宋_GB2312" w:eastAsia="仿宋_GB2312" w:hAnsi="仿宋_GB2312" w:cs="仿宋_GB2312" w:hint="eastAsia"/>
          <w:color w:val="000000" w:themeColor="text1"/>
          <w:kern w:val="0"/>
          <w:sz w:val="32"/>
          <w:szCs w:val="32"/>
        </w:rPr>
        <w:t>见整改到位率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；统计信用信息公示率</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；数据质量核查方式多样性</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种以上；</w:t>
      </w:r>
      <w:r>
        <w:rPr>
          <w:rFonts w:ascii="仿宋_GB2312" w:eastAsia="仿宋_GB2312" w:hAnsi="仿宋_GB2312" w:cs="仿宋_GB2312" w:hint="eastAsia"/>
          <w:color w:val="000000" w:themeColor="text1"/>
          <w:kern w:val="0"/>
          <w:sz w:val="32"/>
          <w:szCs w:val="32"/>
        </w:rPr>
        <w:t>统计执法证持证人数</w:t>
      </w:r>
      <w:r>
        <w:rPr>
          <w:rFonts w:ascii="仿宋_GB2312" w:eastAsia="仿宋_GB2312" w:hAnsi="仿宋_GB2312" w:cs="仿宋_GB2312" w:hint="eastAsia"/>
          <w:color w:val="000000" w:themeColor="text1"/>
          <w:kern w:val="0"/>
          <w:sz w:val="32"/>
          <w:szCs w:val="32"/>
        </w:rPr>
        <w:t>每年有所增长。</w:t>
      </w:r>
    </w:p>
    <w:p w:rsidR="00A269D2" w:rsidRDefault="000B6B16">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A269D2" w:rsidRDefault="000B6B16">
      <w:pPr>
        <w:widowControl/>
        <w:adjustRightInd w:val="0"/>
        <w:spacing w:line="560" w:lineRule="exact"/>
        <w:ind w:firstLineChars="200" w:firstLine="643"/>
        <w:rPr>
          <w:rFonts w:ascii="楷体" w:eastAsia="楷体" w:hAnsi="楷体" w:cs="Helvetica"/>
          <w:b/>
          <w:bCs/>
          <w:kern w:val="0"/>
          <w:sz w:val="32"/>
          <w:szCs w:val="32"/>
        </w:rPr>
      </w:pPr>
      <w:r>
        <w:rPr>
          <w:rFonts w:ascii="楷体" w:eastAsia="楷体" w:hAnsi="楷体" w:cs="Helvetica" w:hint="eastAsia"/>
          <w:b/>
          <w:bCs/>
          <w:kern w:val="0"/>
          <w:sz w:val="32"/>
          <w:szCs w:val="32"/>
        </w:rPr>
        <w:t>1.</w:t>
      </w:r>
      <w:r>
        <w:rPr>
          <w:rFonts w:ascii="楷体" w:eastAsia="楷体" w:hAnsi="楷体" w:cs="Helvetica" w:hint="eastAsia"/>
          <w:b/>
          <w:bCs/>
          <w:kern w:val="0"/>
          <w:sz w:val="32"/>
          <w:szCs w:val="32"/>
        </w:rPr>
        <w:t>对空表的说明：</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年无一般公共预算“三公”经费支出，故该表为空表。</w:t>
      </w:r>
    </w:p>
    <w:p w:rsidR="00A269D2" w:rsidRDefault="000B6B16">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年无</w:t>
      </w:r>
      <w:r>
        <w:rPr>
          <w:rFonts w:ascii="仿宋_GB2312" w:eastAsia="仿宋_GB2312" w:hAnsi="仿宋_GB2312" w:cs="仿宋_GB2312" w:hint="eastAsia"/>
          <w:color w:val="000000" w:themeColor="text1"/>
          <w:kern w:val="0"/>
          <w:sz w:val="32"/>
          <w:szCs w:val="32"/>
        </w:rPr>
        <w:t>政</w:t>
      </w:r>
      <w:r>
        <w:rPr>
          <w:rFonts w:ascii="仿宋_GB2312" w:eastAsia="仿宋_GB2312" w:hAnsi="仿宋_GB2312" w:cs="仿宋_GB2312" w:hint="eastAsia"/>
          <w:color w:val="000000" w:themeColor="text1"/>
          <w:kern w:val="0"/>
          <w:sz w:val="32"/>
          <w:szCs w:val="32"/>
        </w:rPr>
        <w:t>府性基金预算支出，故该表为空表。</w:t>
      </w:r>
    </w:p>
    <w:p w:rsidR="00A269D2" w:rsidRDefault="000B6B16">
      <w:pPr>
        <w:widowControl/>
        <w:adjustRightInd w:val="0"/>
        <w:spacing w:line="560" w:lineRule="exact"/>
        <w:ind w:firstLineChars="200" w:firstLine="643"/>
        <w:rPr>
          <w:rFonts w:ascii="楷体" w:eastAsia="楷体" w:hAnsi="楷体" w:cs="Helvetica"/>
          <w:b/>
          <w:bCs/>
          <w:kern w:val="0"/>
          <w:sz w:val="32"/>
          <w:szCs w:val="32"/>
        </w:rPr>
      </w:pPr>
      <w:r>
        <w:rPr>
          <w:rFonts w:ascii="楷体" w:eastAsia="楷体" w:hAnsi="楷体" w:cs="Helvetica" w:hint="eastAsia"/>
          <w:b/>
          <w:bCs/>
          <w:kern w:val="0"/>
          <w:sz w:val="32"/>
          <w:szCs w:val="32"/>
        </w:rPr>
        <w:t>2.</w:t>
      </w:r>
      <w:r>
        <w:rPr>
          <w:rFonts w:ascii="楷体" w:eastAsia="楷体" w:hAnsi="楷体" w:cs="Helvetica" w:hint="eastAsia"/>
          <w:b/>
          <w:bCs/>
          <w:kern w:val="0"/>
          <w:sz w:val="32"/>
          <w:szCs w:val="32"/>
        </w:rPr>
        <w:t>其他情况的说明：</w:t>
      </w:r>
    </w:p>
    <w:p w:rsidR="00A269D2" w:rsidRDefault="000B6B16">
      <w:pPr>
        <w:widowControl/>
        <w:spacing w:line="560" w:lineRule="exact"/>
        <w:ind w:firstLineChars="200" w:firstLine="640"/>
        <w:rPr>
          <w:rFonts w:ascii="仿宋_GB2312" w:eastAsia="仿宋_GB2312"/>
          <w:sz w:val="32"/>
        </w:rPr>
      </w:pPr>
      <w:r>
        <w:rPr>
          <w:rFonts w:ascii="仿宋_GB2312" w:eastAsia="仿宋_GB2312" w:hint="eastAsia"/>
          <w:sz w:val="32"/>
        </w:rPr>
        <w:t>本单位专项支出。</w:t>
      </w:r>
      <w:r>
        <w:rPr>
          <w:rFonts w:ascii="仿宋_GB2312" w:eastAsia="仿宋_GB2312" w:hint="eastAsia"/>
          <w:sz w:val="32"/>
        </w:rPr>
        <w:t>2024</w:t>
      </w:r>
      <w:r>
        <w:rPr>
          <w:rFonts w:ascii="仿宋_GB2312" w:eastAsia="仿宋_GB2312" w:hint="eastAsia"/>
          <w:sz w:val="32"/>
        </w:rPr>
        <w:t>年本单位专项支出为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t>   </w:t>
      </w:r>
      <w:r w:rsidR="003B3B8A">
        <w:rPr>
          <w:rFonts w:ascii="仿宋_GB2312" w:eastAsia="仿宋_GB2312" w:hint="eastAsia"/>
          <w:sz w:val="32"/>
        </w:rPr>
        <w:t xml:space="preserve">  </w:t>
      </w:r>
      <w:bookmarkStart w:id="0" w:name="_GoBack"/>
      <w:bookmarkEnd w:id="0"/>
      <w:r>
        <w:rPr>
          <w:rFonts w:ascii="仿宋_GB2312" w:eastAsia="仿宋_GB2312" w:hint="eastAsia"/>
          <w:sz w:val="32"/>
        </w:rPr>
        <w:t>一般性转移支付支出。</w:t>
      </w:r>
      <w:r>
        <w:rPr>
          <w:rFonts w:ascii="仿宋_GB2312" w:eastAsia="仿宋_GB2312" w:hint="eastAsia"/>
          <w:sz w:val="32"/>
        </w:rPr>
        <w:t>2024</w:t>
      </w:r>
      <w:r>
        <w:rPr>
          <w:rFonts w:ascii="仿宋_GB2312" w:eastAsia="仿宋_GB2312" w:hint="eastAsia"/>
          <w:sz w:val="32"/>
        </w:rPr>
        <w:t>年一般性转移支付支出为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lastRenderedPageBreak/>
        <w:t>    </w:t>
      </w:r>
      <w:r>
        <w:rPr>
          <w:rFonts w:ascii="仿宋_GB2312" w:eastAsia="仿宋_GB2312" w:hint="eastAsia"/>
          <w:sz w:val="32"/>
        </w:rPr>
        <w:t xml:space="preserve">  </w:t>
      </w:r>
      <w:r>
        <w:rPr>
          <w:rFonts w:ascii="仿宋_GB2312" w:eastAsia="仿宋_GB2312" w:hint="eastAsia"/>
          <w:sz w:val="32"/>
        </w:rPr>
        <w:t>专项转移支付支出。</w:t>
      </w:r>
      <w:r>
        <w:rPr>
          <w:rFonts w:ascii="仿宋_GB2312" w:eastAsia="仿宋_GB2312" w:hint="eastAsia"/>
          <w:sz w:val="32"/>
        </w:rPr>
        <w:t>2024</w:t>
      </w:r>
      <w:r>
        <w:rPr>
          <w:rFonts w:ascii="仿宋_GB2312" w:eastAsia="仿宋_GB2312" w:hint="eastAsia"/>
          <w:sz w:val="32"/>
        </w:rPr>
        <w:t>年专项转移支付支出为</w:t>
      </w:r>
      <w:r>
        <w:rPr>
          <w:rFonts w:ascii="仿宋_GB2312" w:eastAsia="仿宋_GB2312" w:hint="eastAsia"/>
          <w:sz w:val="32"/>
        </w:rPr>
        <w:t>0</w:t>
      </w:r>
      <w:r>
        <w:rPr>
          <w:rFonts w:ascii="仿宋_GB2312" w:eastAsia="仿宋_GB2312" w:hint="eastAsia"/>
          <w:sz w:val="32"/>
        </w:rPr>
        <w:t>，与上年相比无变化。</w:t>
      </w:r>
    </w:p>
    <w:p w:rsidR="00A269D2" w:rsidRDefault="000B6B16">
      <w:pPr>
        <w:widowControl/>
        <w:spacing w:line="520" w:lineRule="exact"/>
        <w:ind w:firstLine="66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Helvetica" w:hint="eastAsia"/>
          <w:kern w:val="0"/>
          <w:sz w:val="32"/>
          <w:szCs w:val="32"/>
        </w:rPr>
        <w:t>专业名词解释</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1.</w:t>
      </w:r>
      <w:r>
        <w:rPr>
          <w:rFonts w:ascii="楷体" w:eastAsia="楷体" w:hAnsi="楷体" w:cs="Helvetica" w:hint="eastAsia"/>
          <w:b/>
          <w:bCs/>
          <w:kern w:val="0"/>
          <w:sz w:val="32"/>
          <w:szCs w:val="32"/>
        </w:rPr>
        <w:t>机关运行经费：</w:t>
      </w:r>
      <w:r>
        <w:rPr>
          <w:rFonts w:ascii="仿宋_GB2312" w:eastAsia="仿宋_GB2312" w:hAnsi="仿宋_GB2312" w:cs="仿宋_GB2312" w:hint="eastAsia"/>
          <w:color w:val="000000" w:themeColor="text1"/>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2.</w:t>
      </w:r>
      <w:r>
        <w:rPr>
          <w:rFonts w:ascii="楷体" w:eastAsia="楷体" w:hAnsi="楷体" w:cs="Helvetica" w:hint="eastAsia"/>
          <w:b/>
          <w:bCs/>
          <w:kern w:val="0"/>
          <w:sz w:val="32"/>
          <w:szCs w:val="32"/>
        </w:rPr>
        <w:t>“三公”经费</w:t>
      </w:r>
      <w:r>
        <w:rPr>
          <w:rFonts w:ascii="仿宋_GB2312" w:eastAsia="仿宋_GB2312" w:hAnsi="仿宋_GB2312" w:cs="仿宋_GB2312" w:hint="eastAsia"/>
          <w:color w:val="000000" w:themeColor="text1"/>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3.</w:t>
      </w:r>
      <w:r>
        <w:rPr>
          <w:rFonts w:ascii="楷体" w:eastAsia="楷体" w:hAnsi="楷体" w:cs="Helvetica" w:hint="eastAsia"/>
          <w:b/>
          <w:bCs/>
          <w:kern w:val="0"/>
          <w:sz w:val="32"/>
          <w:szCs w:val="32"/>
        </w:rPr>
        <w:t>政府采购：</w:t>
      </w:r>
      <w:r>
        <w:rPr>
          <w:rFonts w:ascii="仿宋_GB2312" w:eastAsia="仿宋_GB2312" w:hAnsi="仿宋_GB2312" w:cs="仿宋_GB2312" w:hint="eastAsia"/>
          <w:color w:val="000000" w:themeColor="text1"/>
          <w:kern w:val="0"/>
          <w:sz w:val="32"/>
          <w:szCs w:val="32"/>
        </w:rPr>
        <w:t>是指各级国家机关、事业单位和团体组织，使用财政性资金采购依法制定的集中采购目录以内的或者采购限额标准以上</w:t>
      </w:r>
      <w:r>
        <w:rPr>
          <w:rFonts w:ascii="仿宋_GB2312" w:eastAsia="仿宋_GB2312" w:hAnsi="仿宋_GB2312" w:cs="仿宋_GB2312" w:hint="eastAsia"/>
          <w:color w:val="000000" w:themeColor="text1"/>
          <w:kern w:val="0"/>
          <w:sz w:val="32"/>
          <w:szCs w:val="32"/>
        </w:rPr>
        <w:t>的货物、工程和服务的行为。政府采购不仅是指具体的采购过程，而且是采购政策、采购程序、采购过程及采购管理的总称，是一种对公共采购管理的制度，是一种政府行为。</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4.</w:t>
      </w:r>
      <w:r>
        <w:rPr>
          <w:rFonts w:ascii="楷体" w:eastAsia="楷体" w:hAnsi="楷体" w:cs="Helvetica" w:hint="eastAsia"/>
          <w:b/>
          <w:bCs/>
          <w:kern w:val="0"/>
          <w:sz w:val="32"/>
          <w:szCs w:val="32"/>
        </w:rPr>
        <w:t>财政拨款（补助）收入：</w:t>
      </w:r>
      <w:r>
        <w:rPr>
          <w:rFonts w:ascii="仿宋_GB2312" w:eastAsia="仿宋_GB2312" w:hAnsi="仿宋_GB2312" w:cs="仿宋_GB2312" w:hint="eastAsia"/>
          <w:color w:val="000000" w:themeColor="text1"/>
          <w:kern w:val="0"/>
          <w:sz w:val="32"/>
          <w:szCs w:val="32"/>
        </w:rPr>
        <w:t>指从同级财政部门取得的财政预算资金。</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lastRenderedPageBreak/>
        <w:t>5.</w:t>
      </w:r>
      <w:r>
        <w:rPr>
          <w:rFonts w:ascii="楷体" w:eastAsia="楷体" w:hAnsi="楷体" w:cs="Helvetica" w:hint="eastAsia"/>
          <w:b/>
          <w:bCs/>
          <w:kern w:val="0"/>
          <w:sz w:val="32"/>
          <w:szCs w:val="32"/>
        </w:rPr>
        <w:t>其他收入：</w:t>
      </w:r>
      <w:r>
        <w:rPr>
          <w:rFonts w:ascii="仿宋_GB2312" w:eastAsia="仿宋_GB2312" w:hAnsi="仿宋_GB2312" w:cs="仿宋_GB2312" w:hint="eastAsia"/>
          <w:color w:val="000000" w:themeColor="text1"/>
          <w:kern w:val="0"/>
          <w:sz w:val="32"/>
          <w:szCs w:val="32"/>
        </w:rPr>
        <w:t>指除上述“财政拨款收入”以外任务相应安排的资金。</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6.</w:t>
      </w:r>
      <w:r>
        <w:rPr>
          <w:rFonts w:ascii="楷体" w:eastAsia="楷体" w:hAnsi="楷体" w:cs="Helvetica" w:hint="eastAsia"/>
          <w:b/>
          <w:bCs/>
          <w:kern w:val="0"/>
          <w:sz w:val="32"/>
          <w:szCs w:val="32"/>
        </w:rPr>
        <w:t>基本支出：</w:t>
      </w:r>
      <w:r>
        <w:rPr>
          <w:rFonts w:ascii="仿宋_GB2312" w:eastAsia="仿宋_GB2312" w:hAnsi="仿宋_GB2312" w:cs="仿宋_GB2312" w:hint="eastAsia"/>
          <w:color w:val="000000" w:themeColor="text1"/>
          <w:kern w:val="0"/>
          <w:sz w:val="32"/>
          <w:szCs w:val="32"/>
        </w:rPr>
        <w:t>指为保障机构正常运转、完成日常工作任务而发生的人员支出和公用支出。</w:t>
      </w:r>
    </w:p>
    <w:p w:rsidR="00A269D2" w:rsidRDefault="000B6B16">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hint="eastAsia"/>
          <w:b/>
          <w:bCs/>
          <w:kern w:val="0"/>
          <w:sz w:val="32"/>
          <w:szCs w:val="32"/>
        </w:rPr>
        <w:t>7.</w:t>
      </w:r>
      <w:r>
        <w:rPr>
          <w:rFonts w:ascii="楷体" w:eastAsia="楷体" w:hAnsi="楷体" w:cs="Helvetica" w:hint="eastAsia"/>
          <w:b/>
          <w:bCs/>
          <w:kern w:val="0"/>
          <w:sz w:val="32"/>
          <w:szCs w:val="32"/>
        </w:rPr>
        <w:t>项目支出：</w:t>
      </w:r>
      <w:r>
        <w:rPr>
          <w:rFonts w:ascii="仿宋_GB2312" w:eastAsia="仿宋_GB2312" w:hAnsi="仿宋_GB2312" w:cs="仿宋_GB2312" w:hint="eastAsia"/>
          <w:color w:val="000000" w:themeColor="text1"/>
          <w:kern w:val="0"/>
          <w:sz w:val="32"/>
          <w:szCs w:val="32"/>
        </w:rPr>
        <w:t>指在基本支出之外为完成特定行政任务和事业发展目标所发生的支出。</w:t>
      </w:r>
    </w:p>
    <w:sectPr w:rsidR="00A26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16" w:rsidRDefault="000B6B16" w:rsidP="003B3B8A">
      <w:r>
        <w:separator/>
      </w:r>
    </w:p>
  </w:endnote>
  <w:endnote w:type="continuationSeparator" w:id="0">
    <w:p w:rsidR="000B6B16" w:rsidRDefault="000B6B16" w:rsidP="003B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altName w:val="Arial"/>
    <w:panose1 w:val="020B0604020202020204"/>
    <w:charset w:val="00"/>
    <w:family w:val="swiss"/>
    <w:notTrueType/>
    <w:pitch w:val="variable"/>
    <w:sig w:usb0="00000003" w:usb1="00000000" w:usb2="00000000" w:usb3="00000000" w:csb0="00000001" w:csb1="00000000"/>
  </w:font>
  <w:font w:name="微软雅黑">
    <w:altName w:val="方正黑体_GBK"/>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16" w:rsidRDefault="000B6B16" w:rsidP="003B3B8A">
      <w:r>
        <w:separator/>
      </w:r>
    </w:p>
  </w:footnote>
  <w:footnote w:type="continuationSeparator" w:id="0">
    <w:p w:rsidR="000B6B16" w:rsidRDefault="000B6B16" w:rsidP="003B3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CA3678"/>
    <w:multiLevelType w:val="singleLevel"/>
    <w:tmpl w:val="CFCA3678"/>
    <w:lvl w:ilvl="0">
      <w:start w:val="2"/>
      <w:numFmt w:val="chineseCounting"/>
      <w:suff w:val="nothing"/>
      <w:lvlText w:val="%1、"/>
      <w:lvlJc w:val="left"/>
      <w:rPr>
        <w:rFonts w:hint="eastAsia"/>
      </w:rPr>
    </w:lvl>
  </w:abstractNum>
  <w:abstractNum w:abstractNumId="1">
    <w:nsid w:val="FE0AD5C1"/>
    <w:multiLevelType w:val="singleLevel"/>
    <w:tmpl w:val="FE0AD5C1"/>
    <w:lvl w:ilvl="0">
      <w:start w:val="8"/>
      <w:numFmt w:val="chineseCounting"/>
      <w:suff w:val="nothing"/>
      <w:lvlText w:val="%1、"/>
      <w:lvlJc w:val="left"/>
      <w:rPr>
        <w:rFonts w:hint="eastAsia"/>
      </w:rPr>
    </w:lvl>
  </w:abstractNum>
  <w:abstractNum w:abstractNumId="2">
    <w:nsid w:val="71978561"/>
    <w:multiLevelType w:val="singleLevel"/>
    <w:tmpl w:val="71978561"/>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Dg2ZTA2YmI1MDg4YmI2MjM0OWNjNDJiM2FmOGQifQ=="/>
  </w:docVars>
  <w:rsids>
    <w:rsidRoot w:val="0010135B"/>
    <w:rsid w:val="000B6B16"/>
    <w:rsid w:val="0010135B"/>
    <w:rsid w:val="0030520C"/>
    <w:rsid w:val="003B3B8A"/>
    <w:rsid w:val="0057763A"/>
    <w:rsid w:val="007827A9"/>
    <w:rsid w:val="0096313A"/>
    <w:rsid w:val="00A269D2"/>
    <w:rsid w:val="01684DB4"/>
    <w:rsid w:val="02A61AE2"/>
    <w:rsid w:val="02AA5B00"/>
    <w:rsid w:val="038B1504"/>
    <w:rsid w:val="03C3786E"/>
    <w:rsid w:val="03F56CD5"/>
    <w:rsid w:val="04460CA7"/>
    <w:rsid w:val="0521514E"/>
    <w:rsid w:val="05BC3FC4"/>
    <w:rsid w:val="07577FFE"/>
    <w:rsid w:val="07C055E6"/>
    <w:rsid w:val="094B4190"/>
    <w:rsid w:val="09D74549"/>
    <w:rsid w:val="0A4129EF"/>
    <w:rsid w:val="0ADC2C68"/>
    <w:rsid w:val="0AF9551B"/>
    <w:rsid w:val="0B712CE4"/>
    <w:rsid w:val="0D1A3C4D"/>
    <w:rsid w:val="0E18654F"/>
    <w:rsid w:val="10E13A1D"/>
    <w:rsid w:val="112A66B2"/>
    <w:rsid w:val="13A55C92"/>
    <w:rsid w:val="1755429B"/>
    <w:rsid w:val="18302C73"/>
    <w:rsid w:val="195A7321"/>
    <w:rsid w:val="1A072B5B"/>
    <w:rsid w:val="1A6A5363"/>
    <w:rsid w:val="1B5B467E"/>
    <w:rsid w:val="1B6D341D"/>
    <w:rsid w:val="1C34140F"/>
    <w:rsid w:val="1C550405"/>
    <w:rsid w:val="1D274825"/>
    <w:rsid w:val="1E1B44E3"/>
    <w:rsid w:val="1F686054"/>
    <w:rsid w:val="2113274F"/>
    <w:rsid w:val="21DB20BC"/>
    <w:rsid w:val="22F80CD4"/>
    <w:rsid w:val="238B7FDD"/>
    <w:rsid w:val="263F794A"/>
    <w:rsid w:val="26D20279"/>
    <w:rsid w:val="278571F3"/>
    <w:rsid w:val="281713B7"/>
    <w:rsid w:val="28402501"/>
    <w:rsid w:val="28604D4E"/>
    <w:rsid w:val="29087613"/>
    <w:rsid w:val="2973770E"/>
    <w:rsid w:val="2C381D4A"/>
    <w:rsid w:val="2D677C2D"/>
    <w:rsid w:val="2DEB26E8"/>
    <w:rsid w:val="2E861724"/>
    <w:rsid w:val="2EBB759B"/>
    <w:rsid w:val="30D37ABF"/>
    <w:rsid w:val="31F03766"/>
    <w:rsid w:val="336245BC"/>
    <w:rsid w:val="3466212B"/>
    <w:rsid w:val="34C35ACD"/>
    <w:rsid w:val="34E519B1"/>
    <w:rsid w:val="35391E32"/>
    <w:rsid w:val="35AF735F"/>
    <w:rsid w:val="363E49B9"/>
    <w:rsid w:val="376C2064"/>
    <w:rsid w:val="39253208"/>
    <w:rsid w:val="39691347"/>
    <w:rsid w:val="39FF1A79"/>
    <w:rsid w:val="3A79008A"/>
    <w:rsid w:val="3BB00C1C"/>
    <w:rsid w:val="3BB16AFD"/>
    <w:rsid w:val="3C8B2B20"/>
    <w:rsid w:val="3DF8713D"/>
    <w:rsid w:val="405F2A8A"/>
    <w:rsid w:val="40E04C42"/>
    <w:rsid w:val="414E085D"/>
    <w:rsid w:val="484F3BA3"/>
    <w:rsid w:val="496E6D09"/>
    <w:rsid w:val="4A57500D"/>
    <w:rsid w:val="4D432C65"/>
    <w:rsid w:val="4DA647F1"/>
    <w:rsid w:val="4DE75480"/>
    <w:rsid w:val="4F526BED"/>
    <w:rsid w:val="52212F33"/>
    <w:rsid w:val="53D656CB"/>
    <w:rsid w:val="54F91E80"/>
    <w:rsid w:val="55BF73A6"/>
    <w:rsid w:val="55C46B6E"/>
    <w:rsid w:val="55DE7B1E"/>
    <w:rsid w:val="56041E25"/>
    <w:rsid w:val="5680041D"/>
    <w:rsid w:val="568E2C04"/>
    <w:rsid w:val="56C30CA6"/>
    <w:rsid w:val="57575A05"/>
    <w:rsid w:val="58DE1B32"/>
    <w:rsid w:val="594B0611"/>
    <w:rsid w:val="5A1934E5"/>
    <w:rsid w:val="5A196D1C"/>
    <w:rsid w:val="5A9B69B9"/>
    <w:rsid w:val="5BB43ED5"/>
    <w:rsid w:val="5C60529C"/>
    <w:rsid w:val="5D7A03D2"/>
    <w:rsid w:val="5F065160"/>
    <w:rsid w:val="5F4D5334"/>
    <w:rsid w:val="61B5479C"/>
    <w:rsid w:val="622B4D80"/>
    <w:rsid w:val="64DA66AB"/>
    <w:rsid w:val="66D87988"/>
    <w:rsid w:val="67A15017"/>
    <w:rsid w:val="67CA4DF7"/>
    <w:rsid w:val="692C7EE9"/>
    <w:rsid w:val="692D4BDE"/>
    <w:rsid w:val="699A747D"/>
    <w:rsid w:val="69F0781D"/>
    <w:rsid w:val="6A475399"/>
    <w:rsid w:val="6A917477"/>
    <w:rsid w:val="6CA44986"/>
    <w:rsid w:val="6CD75560"/>
    <w:rsid w:val="6EE3511C"/>
    <w:rsid w:val="6F7E1F5F"/>
    <w:rsid w:val="71286599"/>
    <w:rsid w:val="71A50310"/>
    <w:rsid w:val="735065A0"/>
    <w:rsid w:val="757010EB"/>
    <w:rsid w:val="75A350D1"/>
    <w:rsid w:val="762C55FB"/>
    <w:rsid w:val="76B75310"/>
    <w:rsid w:val="77846D70"/>
    <w:rsid w:val="78590534"/>
    <w:rsid w:val="7B696F09"/>
    <w:rsid w:val="7B6A4B66"/>
    <w:rsid w:val="7BA84E61"/>
    <w:rsid w:val="7E01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74C782-1C50-45EF-BF0A-9F97B4BC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5">
    <w:name w:val="List Paragraph"/>
    <w:basedOn w:val="a"/>
    <w:autoRedefine/>
    <w:uiPriority w:val="34"/>
    <w:qFormat/>
    <w:pPr>
      <w:ind w:firstLineChars="200" w:firstLine="420"/>
    </w:pPr>
  </w:style>
  <w:style w:type="paragraph" w:styleId="a6">
    <w:name w:val="header"/>
    <w:basedOn w:val="a"/>
    <w:link w:val="Char"/>
    <w:uiPriority w:val="99"/>
    <w:unhideWhenUsed/>
    <w:rsid w:val="003B3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B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450</Words>
  <Characters>2568</Characters>
  <Application>Microsoft Office Word</Application>
  <DocSecurity>0</DocSecurity>
  <Lines>21</Lines>
  <Paragraphs>6</Paragraphs>
  <ScaleCrop>false</ScaleCrop>
  <Company>P R C</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3</cp:revision>
  <cp:lastPrinted>2022-02-23T00:58:00Z</cp:lastPrinted>
  <dcterms:created xsi:type="dcterms:W3CDTF">2021-03-05T00:56:00Z</dcterms:created>
  <dcterms:modified xsi:type="dcterms:W3CDTF">2024-03-13T09:20:00Z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BFBE6125828942BFAC099BA87426B8AA_13</vt:lpwstr>
  </property>
</Properties>
</file>