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1"/>
        <w:rPr>
          <w:rFonts w:hint="eastAsia" w:ascii="方正小标宋简体" w:hAnsi="inherit" w:eastAsia="方正小标宋简体" w:cs="Helvetica"/>
          <w:color w:val="auto"/>
          <w:kern w:val="0"/>
          <w:sz w:val="44"/>
          <w:szCs w:val="44"/>
        </w:rPr>
      </w:pPr>
      <w:r>
        <w:rPr>
          <w:rFonts w:ascii="方正小标宋简体" w:hAnsi="inherit" w:eastAsia="方正小标宋简体" w:cs="Helvetica"/>
          <w:color w:val="auto"/>
          <w:kern w:val="0"/>
          <w:sz w:val="44"/>
          <w:szCs w:val="44"/>
        </w:rPr>
        <w:t>湖北省统计局</w:t>
      </w:r>
      <w:r>
        <w:rPr>
          <w:rFonts w:hint="eastAsia" w:ascii="方正小标宋简体" w:hAnsi="inherit" w:eastAsia="方正小标宋简体" w:cs="Helvetica"/>
          <w:color w:val="auto"/>
          <w:kern w:val="0"/>
          <w:sz w:val="44"/>
          <w:szCs w:val="44"/>
        </w:rPr>
        <w:t>石首</w:t>
      </w:r>
      <w:r>
        <w:rPr>
          <w:rFonts w:ascii="方正小标宋简体" w:hAnsi="inherit" w:eastAsia="方正小标宋简体" w:cs="Helvetica"/>
          <w:color w:val="auto"/>
          <w:kern w:val="0"/>
          <w:sz w:val="44"/>
          <w:szCs w:val="44"/>
        </w:rPr>
        <w:t>经济社会调查队</w:t>
      </w:r>
    </w:p>
    <w:p>
      <w:pPr>
        <w:widowControl/>
        <w:spacing w:line="560" w:lineRule="exact"/>
        <w:jc w:val="center"/>
        <w:outlineLvl w:val="1"/>
        <w:rPr>
          <w:rFonts w:hint="eastAsia" w:ascii="方正小标宋简体" w:hAnsi="inherit" w:eastAsia="方正小标宋简体" w:cs="Helvetica"/>
          <w:color w:val="auto"/>
          <w:kern w:val="0"/>
          <w:sz w:val="45"/>
          <w:szCs w:val="45"/>
        </w:rPr>
      </w:pPr>
      <w:r>
        <w:rPr>
          <w:rFonts w:hint="eastAsia" w:ascii="方正小标宋简体" w:hAnsi="inherit" w:eastAsia="方正小标宋简体" w:cs="Helvetica"/>
          <w:color w:val="auto"/>
          <w:kern w:val="0"/>
          <w:sz w:val="44"/>
          <w:szCs w:val="44"/>
        </w:rPr>
        <w:t>202</w:t>
      </w:r>
      <w:r>
        <w:rPr>
          <w:rFonts w:hint="eastAsia" w:ascii="方正小标宋简体" w:hAnsi="inherit" w:eastAsia="方正小标宋简体" w:cs="Helvetica"/>
          <w:color w:val="auto"/>
          <w:kern w:val="0"/>
          <w:sz w:val="44"/>
          <w:szCs w:val="44"/>
          <w:lang w:val="en-US" w:eastAsia="zh-CN"/>
        </w:rPr>
        <w:t>3</w:t>
      </w:r>
      <w:r>
        <w:rPr>
          <w:rFonts w:hint="eastAsia" w:ascii="方正小标宋简体" w:hAnsi="inherit" w:eastAsia="方正小标宋简体" w:cs="Helvetica"/>
          <w:color w:val="auto"/>
          <w:kern w:val="0"/>
          <w:sz w:val="44"/>
          <w:szCs w:val="44"/>
        </w:rPr>
        <w:t>年单位预算公开情况说明</w:t>
      </w:r>
    </w:p>
    <w:p>
      <w:pPr>
        <w:widowControl/>
        <w:rPr>
          <w:rFonts w:cs="Helvetica" w:asciiTheme="minorEastAsia" w:hAnsiTheme="minorEastAsia"/>
          <w:color w:val="auto"/>
          <w:kern w:val="0"/>
          <w:sz w:val="24"/>
          <w:szCs w:val="24"/>
        </w:rPr>
      </w:pPr>
      <w:r>
        <w:rPr>
          <w:rFonts w:hint="eastAsia" w:ascii="微软雅黑" w:hAnsi="微软雅黑" w:eastAsia="微软雅黑" w:cs="Helvetica"/>
          <w:color w:val="auto"/>
          <w:kern w:val="0"/>
          <w:szCs w:val="21"/>
        </w:rPr>
        <w:t xml:space="preserve">　　                         </w:t>
      </w:r>
      <w:r>
        <w:rPr>
          <w:rFonts w:hint="eastAsia" w:cs="Helvetica" w:asciiTheme="minorEastAsia" w:hAnsiTheme="minorEastAsia"/>
          <w:color w:val="auto"/>
          <w:kern w:val="0"/>
          <w:sz w:val="24"/>
          <w:szCs w:val="24"/>
        </w:rPr>
        <w:t xml:space="preserve"> </w:t>
      </w:r>
      <w:r>
        <w:rPr>
          <w:rFonts w:cs="Helvetica" w:asciiTheme="minorEastAsia" w:hAnsiTheme="minorEastAsia"/>
          <w:color w:val="auto"/>
          <w:kern w:val="0"/>
          <w:sz w:val="24"/>
          <w:szCs w:val="24"/>
        </w:rPr>
        <w:t xml:space="preserve">   </w:t>
      </w:r>
      <w:r>
        <w:rPr>
          <w:rFonts w:hint="eastAsia" w:cs="Helvetica" w:asciiTheme="minorEastAsia" w:hAnsiTheme="minorEastAsia"/>
          <w:color w:val="auto"/>
          <w:kern w:val="0"/>
          <w:sz w:val="24"/>
          <w:szCs w:val="24"/>
        </w:rPr>
        <w:t xml:space="preserve"> </w:t>
      </w:r>
    </w:p>
    <w:p>
      <w:pPr>
        <w:widowControl/>
        <w:spacing w:line="560" w:lineRule="exact"/>
        <w:rPr>
          <w:rFonts w:cs="Helvetica" w:asciiTheme="majorEastAsia" w:hAnsiTheme="majorEastAsia" w:eastAsiaTheme="majorEastAsia"/>
          <w:color w:val="auto"/>
          <w:kern w:val="0"/>
          <w:sz w:val="28"/>
          <w:szCs w:val="28"/>
        </w:rPr>
      </w:pP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一</w:t>
      </w:r>
      <w:r>
        <w:rPr>
          <w:rFonts w:ascii="仿宋" w:hAnsi="仿宋" w:eastAsia="仿宋" w:cs="Helvetica"/>
          <w:b/>
          <w:color w:val="auto"/>
          <w:kern w:val="0"/>
          <w:sz w:val="32"/>
          <w:szCs w:val="32"/>
        </w:rPr>
        <w:t>、</w:t>
      </w:r>
      <w:r>
        <w:rPr>
          <w:rFonts w:hint="eastAsia" w:ascii="仿宋" w:hAnsi="仿宋" w:eastAsia="仿宋" w:cs="Helvetica"/>
          <w:b/>
          <w:color w:val="auto"/>
          <w:kern w:val="0"/>
          <w:sz w:val="32"/>
          <w:szCs w:val="32"/>
        </w:rPr>
        <w:t>单位主要职责</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二、机构设置情况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三、预算收支及增减变化情况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四、机关运行经费情况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五、一般公共预算“三公”经费及增减变化情况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六</w:t>
      </w:r>
      <w:r>
        <w:rPr>
          <w:rFonts w:ascii="仿宋" w:hAnsi="仿宋" w:eastAsia="仿宋" w:cs="Helvetica"/>
          <w:b/>
          <w:color w:val="auto"/>
          <w:kern w:val="0"/>
          <w:sz w:val="32"/>
          <w:szCs w:val="32"/>
        </w:rPr>
        <w:t>、</w:t>
      </w:r>
      <w:r>
        <w:rPr>
          <w:rFonts w:hint="eastAsia" w:ascii="仿宋" w:hAnsi="仿宋" w:eastAsia="仿宋" w:cs="Helvetica"/>
          <w:b/>
          <w:color w:val="auto"/>
          <w:kern w:val="0"/>
          <w:sz w:val="32"/>
          <w:szCs w:val="32"/>
        </w:rPr>
        <w:t>政府采购预算安排情况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七、国有资产占用情况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八、重点项目预算绩效情况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九、其他需要说明的情况</w:t>
      </w:r>
    </w:p>
    <w:p>
      <w:pPr>
        <w:widowControl/>
        <w:spacing w:line="560" w:lineRule="exact"/>
        <w:ind w:firstLine="643" w:firstLineChars="200"/>
        <w:jc w:val="left"/>
        <w:rPr>
          <w:rFonts w:ascii="仿宋_GB2312" w:hAnsi="仿宋_GB2312" w:eastAsia="仿宋_GB2312" w:cs="仿宋_GB2312"/>
          <w:color w:val="auto"/>
          <w:kern w:val="0"/>
          <w:sz w:val="32"/>
          <w:szCs w:val="32"/>
        </w:rPr>
      </w:pPr>
      <w:r>
        <w:rPr>
          <w:rFonts w:hint="eastAsia" w:ascii="仿宋" w:hAnsi="仿宋" w:eastAsia="仿宋" w:cs="Helvetica"/>
          <w:b/>
          <w:color w:val="auto"/>
          <w:kern w:val="0"/>
          <w:sz w:val="32"/>
          <w:szCs w:val="32"/>
        </w:rPr>
        <w:t>十</w:t>
      </w:r>
      <w:r>
        <w:rPr>
          <w:rFonts w:ascii="仿宋" w:hAnsi="仿宋" w:eastAsia="仿宋" w:cs="Helvetica"/>
          <w:b/>
          <w:color w:val="auto"/>
          <w:kern w:val="0"/>
          <w:sz w:val="32"/>
          <w:szCs w:val="32"/>
        </w:rPr>
        <w:t>、</w:t>
      </w:r>
      <w:r>
        <w:rPr>
          <w:rFonts w:hint="eastAsia" w:ascii="仿宋" w:hAnsi="仿宋" w:eastAsia="仿宋" w:cs="Helvetica"/>
          <w:b/>
          <w:bCs/>
          <w:color w:val="auto"/>
          <w:kern w:val="0"/>
          <w:sz w:val="32"/>
          <w:szCs w:val="32"/>
        </w:rPr>
        <w:t>专业</w:t>
      </w:r>
      <w:r>
        <w:rPr>
          <w:rFonts w:hint="eastAsia" w:ascii="仿宋" w:hAnsi="仿宋" w:eastAsia="仿宋" w:cs="Helvetica"/>
          <w:b/>
          <w:color w:val="auto"/>
          <w:kern w:val="0"/>
          <w:sz w:val="32"/>
          <w:szCs w:val="32"/>
        </w:rPr>
        <w:t>名词解释</w:t>
      </w:r>
    </w:p>
    <w:p>
      <w:pPr>
        <w:widowControl/>
        <w:adjustRightInd w:val="0"/>
        <w:spacing w:line="560" w:lineRule="exact"/>
        <w:ind w:firstLine="640" w:firstLineChars="200"/>
        <w:rPr>
          <w:rFonts w:ascii="仿宋_GB2312" w:hAnsi="仿宋_GB2312" w:eastAsia="仿宋_GB2312" w:cs="仿宋_GB2312"/>
          <w:color w:val="auto"/>
          <w:sz w:val="32"/>
          <w:szCs w:val="32"/>
        </w:rPr>
      </w:pPr>
    </w:p>
    <w:p>
      <w:pPr>
        <w:widowControl/>
        <w:adjustRightInd w:val="0"/>
        <w:spacing w:line="560" w:lineRule="exact"/>
        <w:ind w:firstLine="640" w:firstLineChars="200"/>
        <w:rPr>
          <w:rFonts w:ascii="黑体" w:hAnsi="黑体" w:eastAsia="黑体" w:cs="黑体"/>
          <w:color w:val="auto"/>
          <w:sz w:val="32"/>
          <w:szCs w:val="32"/>
        </w:rPr>
      </w:pPr>
    </w:p>
    <w:p>
      <w:pPr>
        <w:widowControl/>
        <w:adjustRightInd w:val="0"/>
        <w:spacing w:line="560" w:lineRule="exact"/>
        <w:ind w:firstLine="640" w:firstLineChars="200"/>
        <w:rPr>
          <w:rFonts w:ascii="黑体" w:hAnsi="黑体" w:eastAsia="黑体" w:cs="黑体"/>
          <w:color w:val="auto"/>
          <w:sz w:val="32"/>
          <w:szCs w:val="32"/>
        </w:rPr>
      </w:pPr>
    </w:p>
    <w:p>
      <w:pPr>
        <w:widowControl/>
        <w:adjustRightInd w:val="0"/>
        <w:spacing w:line="560" w:lineRule="exact"/>
        <w:ind w:firstLine="640" w:firstLineChars="200"/>
        <w:rPr>
          <w:rFonts w:ascii="黑体" w:hAnsi="黑体" w:eastAsia="黑体" w:cs="黑体"/>
          <w:color w:val="auto"/>
          <w:sz w:val="32"/>
          <w:szCs w:val="32"/>
        </w:rPr>
      </w:pPr>
    </w:p>
    <w:p>
      <w:pPr>
        <w:widowControl/>
        <w:adjustRightInd w:val="0"/>
        <w:spacing w:line="560" w:lineRule="exact"/>
        <w:ind w:firstLine="640" w:firstLineChars="200"/>
        <w:rPr>
          <w:rFonts w:ascii="黑体" w:hAnsi="黑体" w:eastAsia="黑体" w:cs="黑体"/>
          <w:color w:val="auto"/>
          <w:sz w:val="32"/>
          <w:szCs w:val="32"/>
        </w:rPr>
      </w:pPr>
    </w:p>
    <w:p>
      <w:pPr>
        <w:widowControl/>
        <w:adjustRightInd w:val="0"/>
        <w:spacing w:line="560" w:lineRule="exact"/>
        <w:ind w:firstLine="640" w:firstLineChars="200"/>
        <w:rPr>
          <w:rFonts w:ascii="黑体" w:hAnsi="黑体" w:eastAsia="黑体" w:cs="黑体"/>
          <w:color w:val="auto"/>
          <w:sz w:val="32"/>
          <w:szCs w:val="32"/>
        </w:rPr>
      </w:pPr>
    </w:p>
    <w:p>
      <w:pPr>
        <w:widowControl/>
        <w:adjustRightInd w:val="0"/>
        <w:spacing w:line="560" w:lineRule="exact"/>
        <w:ind w:firstLine="640" w:firstLineChars="200"/>
        <w:rPr>
          <w:rFonts w:ascii="黑体" w:hAnsi="黑体" w:eastAsia="黑体" w:cs="黑体"/>
          <w:color w:val="auto"/>
          <w:sz w:val="32"/>
          <w:szCs w:val="32"/>
        </w:rPr>
      </w:pPr>
    </w:p>
    <w:p>
      <w:pPr>
        <w:widowControl/>
        <w:adjustRightInd w:val="0"/>
        <w:spacing w:line="560" w:lineRule="exact"/>
        <w:ind w:firstLine="640" w:firstLineChars="200"/>
        <w:rPr>
          <w:rFonts w:ascii="黑体" w:hAnsi="黑体" w:eastAsia="黑体" w:cs="黑体"/>
          <w:color w:val="auto"/>
          <w:sz w:val="32"/>
          <w:szCs w:val="32"/>
        </w:rPr>
      </w:pPr>
    </w:p>
    <w:p>
      <w:pPr>
        <w:widowControl/>
        <w:adjustRightInd w:val="0"/>
        <w:spacing w:line="560" w:lineRule="exact"/>
        <w:ind w:firstLine="640" w:firstLineChars="200"/>
        <w:rPr>
          <w:rFonts w:ascii="黑体" w:hAnsi="黑体" w:eastAsia="黑体" w:cs="黑体"/>
          <w:color w:val="auto"/>
          <w:sz w:val="32"/>
          <w:szCs w:val="32"/>
        </w:rPr>
      </w:pPr>
    </w:p>
    <w:p>
      <w:pPr>
        <w:widowControl/>
        <w:adjustRightInd w:val="0"/>
        <w:spacing w:line="560" w:lineRule="exact"/>
        <w:ind w:firstLine="640" w:firstLineChars="200"/>
        <w:rPr>
          <w:rFonts w:ascii="黑体" w:hAnsi="黑体" w:eastAsia="黑体" w:cs="黑体"/>
          <w:color w:val="auto"/>
          <w:sz w:val="32"/>
          <w:szCs w:val="32"/>
        </w:rPr>
      </w:pPr>
    </w:p>
    <w:p>
      <w:pPr>
        <w:widowControl/>
        <w:adjustRightInd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sz w:val="32"/>
          <w:szCs w:val="32"/>
        </w:rPr>
        <w:t>一、</w:t>
      </w:r>
      <w:r>
        <w:rPr>
          <w:rFonts w:hint="eastAsia" w:ascii="黑体" w:hAnsi="黑体" w:eastAsia="黑体" w:cs="黑体"/>
          <w:color w:val="auto"/>
          <w:kern w:val="0"/>
          <w:sz w:val="32"/>
          <w:szCs w:val="32"/>
        </w:rPr>
        <w:t>单位主要职责</w:t>
      </w:r>
    </w:p>
    <w:p>
      <w:pPr>
        <w:widowControl/>
        <w:adjustRightIn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统计数据质量监测和核查；组织实施统计调查和监测工作；参与统计执法相关工作；参与大型国情国力调查等重大统计工作；协助地方统计局开展相关工作；完成省统计局和省级、市级调查监测分局交办的其他工作。</w:t>
      </w:r>
    </w:p>
    <w:p>
      <w:pPr>
        <w:widowControl/>
        <w:adjustRightInd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二、机构设置情况</w:t>
      </w:r>
    </w:p>
    <w:p>
      <w:pPr>
        <w:widowControl/>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湖北省统计局石首经济社会调查队下设2个内设机构：调查监测一科、调查监测二科。</w:t>
      </w:r>
    </w:p>
    <w:p>
      <w:pPr>
        <w:widowControl/>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1</w:t>
      </w:r>
      <w:r>
        <w:rPr>
          <w:rFonts w:hint="eastAsia" w:ascii="楷体" w:hAnsi="楷体" w:eastAsia="楷体" w:cs="Helvetica"/>
          <w:b/>
          <w:color w:val="auto"/>
          <w:kern w:val="0"/>
          <w:sz w:val="32"/>
          <w:szCs w:val="32"/>
        </w:rPr>
        <w:t>.调查监测一科的主要职责</w:t>
      </w:r>
      <w:r>
        <w:rPr>
          <w:rFonts w:hint="eastAsia" w:ascii="楷体_GB2312" w:hAnsi="楷体_GB2312" w:eastAsia="楷体_GB2312" w:cs="楷体_GB2312"/>
          <w:color w:val="auto"/>
          <w:kern w:val="0"/>
          <w:sz w:val="32"/>
          <w:szCs w:val="32"/>
        </w:rPr>
        <w:t>:</w:t>
      </w:r>
      <w:r>
        <w:rPr>
          <w:rFonts w:hint="eastAsia" w:ascii="仿宋_GB2312" w:hAnsi="仿宋_GB2312" w:eastAsia="仿宋_GB2312" w:cs="仿宋_GB2312"/>
          <w:color w:val="auto"/>
          <w:kern w:val="0"/>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pPr>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2.</w:t>
      </w:r>
      <w:r>
        <w:rPr>
          <w:rFonts w:hint="eastAsia" w:ascii="楷体" w:hAnsi="楷体" w:eastAsia="楷体" w:cs="Helvetica"/>
          <w:b/>
          <w:color w:val="auto"/>
          <w:kern w:val="0"/>
          <w:sz w:val="32"/>
          <w:szCs w:val="32"/>
        </w:rPr>
        <w:t>调查监测二科的主要职责</w:t>
      </w:r>
      <w:r>
        <w:rPr>
          <w:rFonts w:hint="eastAsia" w:ascii="楷体_GB2312" w:hAnsi="楷体_GB2312" w:eastAsia="楷体_GB2312" w:cs="楷体_GB2312"/>
          <w:color w:val="auto"/>
          <w:kern w:val="0"/>
          <w:sz w:val="32"/>
          <w:szCs w:val="32"/>
        </w:rPr>
        <w:t>:</w:t>
      </w:r>
      <w:r>
        <w:rPr>
          <w:rFonts w:hint="eastAsia" w:ascii="仿宋_GB2312" w:hAnsi="仿宋_GB2312" w:eastAsia="仿宋_GB2312" w:cs="仿宋_GB2312"/>
          <w:color w:val="auto"/>
          <w:kern w:val="0"/>
          <w:sz w:val="32"/>
          <w:szCs w:val="32"/>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pPr>
        <w:widowControl/>
        <w:adjustRightInd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三、预算收支及增减变化情况</w:t>
      </w:r>
    </w:p>
    <w:p>
      <w:pPr>
        <w:widowControl/>
        <w:adjustRightInd w:val="0"/>
        <w:spacing w:line="560" w:lineRule="exact"/>
        <w:ind w:firstLine="643" w:firstLineChars="200"/>
        <w:rPr>
          <w:rFonts w:ascii="仿宋" w:hAnsi="仿宋" w:eastAsia="仿宋" w:cs="仿宋"/>
          <w:color w:val="auto"/>
          <w:kern w:val="0"/>
          <w:sz w:val="32"/>
          <w:szCs w:val="32"/>
        </w:rPr>
      </w:pPr>
      <w:r>
        <w:rPr>
          <w:rFonts w:hint="eastAsia" w:ascii="楷体" w:hAnsi="楷体" w:eastAsia="楷体" w:cs="Helvetica"/>
          <w:b/>
          <w:color w:val="auto"/>
          <w:kern w:val="0"/>
          <w:sz w:val="32"/>
          <w:szCs w:val="32"/>
        </w:rPr>
        <w:t>1.预算收入情况</w:t>
      </w:r>
      <w:r>
        <w:rPr>
          <w:rFonts w:hint="eastAsia" w:ascii="仿宋_GB2312" w:hAnsi="仿宋_GB2312" w:eastAsia="仿宋_GB2312" w:cs="仿宋_GB2312"/>
          <w:color w:val="auto"/>
          <w:kern w:val="0"/>
          <w:sz w:val="32"/>
          <w:szCs w:val="32"/>
        </w:rPr>
        <w:t>：</w:t>
      </w:r>
      <w:r>
        <w:rPr>
          <w:rFonts w:hint="eastAsia" w:ascii="仿宋" w:hAnsi="仿宋" w:eastAsia="仿宋" w:cs="仿宋"/>
          <w:color w:val="auto"/>
          <w:kern w:val="0"/>
          <w:sz w:val="32"/>
          <w:szCs w:val="32"/>
        </w:rPr>
        <w:t>202</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年单位预算收入为</w:t>
      </w:r>
      <w:r>
        <w:rPr>
          <w:rFonts w:hint="eastAsia" w:ascii="仿宋" w:hAnsi="仿宋" w:eastAsia="仿宋" w:cs="仿宋"/>
          <w:color w:val="auto"/>
          <w:kern w:val="0"/>
          <w:sz w:val="32"/>
          <w:szCs w:val="32"/>
          <w:lang w:val="en-US" w:eastAsia="zh-CN"/>
        </w:rPr>
        <w:t>58.48</w:t>
      </w:r>
      <w:r>
        <w:rPr>
          <w:rFonts w:hint="eastAsia" w:ascii="仿宋" w:hAnsi="仿宋" w:eastAsia="仿宋" w:cs="仿宋"/>
          <w:color w:val="auto"/>
          <w:kern w:val="0"/>
          <w:sz w:val="32"/>
          <w:szCs w:val="32"/>
        </w:rPr>
        <w:t>万元，比上年</w:t>
      </w:r>
      <w:r>
        <w:rPr>
          <w:rFonts w:hint="eastAsia" w:ascii="仿宋" w:hAnsi="仿宋" w:eastAsia="仿宋" w:cs="仿宋"/>
          <w:color w:val="auto"/>
          <w:kern w:val="0"/>
          <w:sz w:val="32"/>
          <w:szCs w:val="32"/>
          <w:lang w:eastAsia="zh-CN"/>
        </w:rPr>
        <w:t>减少</w:t>
      </w:r>
      <w:r>
        <w:rPr>
          <w:rFonts w:hint="eastAsia" w:ascii="仿宋" w:hAnsi="仿宋" w:eastAsia="仿宋" w:cs="仿宋"/>
          <w:color w:val="auto"/>
          <w:kern w:val="0"/>
          <w:sz w:val="32"/>
          <w:szCs w:val="32"/>
          <w:lang w:val="en-US" w:eastAsia="zh-CN"/>
        </w:rPr>
        <w:t>6.52</w:t>
      </w:r>
      <w:r>
        <w:rPr>
          <w:rFonts w:hint="eastAsia" w:ascii="仿宋" w:hAnsi="仿宋" w:eastAsia="仿宋" w:cs="仿宋"/>
          <w:color w:val="auto"/>
          <w:kern w:val="0"/>
          <w:sz w:val="32"/>
          <w:szCs w:val="32"/>
        </w:rPr>
        <w:t>万元，</w:t>
      </w:r>
      <w:r>
        <w:rPr>
          <w:rFonts w:hint="eastAsia" w:ascii="仿宋" w:hAnsi="仿宋" w:eastAsia="仿宋" w:cs="仿宋"/>
          <w:color w:val="auto"/>
          <w:kern w:val="0"/>
          <w:sz w:val="32"/>
          <w:szCs w:val="32"/>
          <w:lang w:eastAsia="zh-CN"/>
        </w:rPr>
        <w:t>减少</w:t>
      </w:r>
      <w:r>
        <w:rPr>
          <w:rFonts w:hint="eastAsia" w:ascii="仿宋" w:hAnsi="仿宋" w:eastAsia="仿宋" w:cs="仿宋"/>
          <w:color w:val="auto"/>
          <w:kern w:val="0"/>
          <w:sz w:val="32"/>
          <w:szCs w:val="32"/>
          <w:lang w:val="en-US" w:eastAsia="zh-CN"/>
        </w:rPr>
        <w:t>10.03</w:t>
      </w:r>
      <w:r>
        <w:rPr>
          <w:rFonts w:hint="eastAsia" w:ascii="仿宋" w:hAnsi="仿宋" w:eastAsia="仿宋" w:cs="仿宋"/>
          <w:color w:val="auto"/>
          <w:kern w:val="0"/>
          <w:sz w:val="32"/>
          <w:szCs w:val="32"/>
        </w:rPr>
        <w:t>%。其中，经费拨款</w:t>
      </w:r>
      <w:r>
        <w:rPr>
          <w:rFonts w:hint="eastAsia" w:ascii="仿宋" w:hAnsi="仿宋" w:eastAsia="仿宋" w:cs="仿宋"/>
          <w:color w:val="auto"/>
          <w:kern w:val="0"/>
          <w:sz w:val="32"/>
          <w:szCs w:val="32"/>
          <w:lang w:val="en-US" w:eastAsia="zh-CN"/>
        </w:rPr>
        <w:t>58.48</w:t>
      </w:r>
      <w:r>
        <w:rPr>
          <w:rFonts w:hint="eastAsia" w:ascii="仿宋" w:hAnsi="仿宋" w:eastAsia="仿宋" w:cs="仿宋"/>
          <w:color w:val="auto"/>
          <w:kern w:val="0"/>
          <w:sz w:val="32"/>
          <w:szCs w:val="32"/>
        </w:rPr>
        <w:t>万元，占本年收入的100%，无上年结转经费和其他收入预算。</w:t>
      </w:r>
    </w:p>
    <w:p>
      <w:pPr>
        <w:widowControl/>
        <w:adjustRightInd w:val="0"/>
        <w:spacing w:line="56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收入</w:t>
      </w:r>
      <w:r>
        <w:rPr>
          <w:rFonts w:hint="eastAsia" w:ascii="仿宋" w:hAnsi="仿宋" w:eastAsia="仿宋" w:cs="仿宋"/>
          <w:color w:val="auto"/>
          <w:kern w:val="0"/>
          <w:sz w:val="32"/>
          <w:szCs w:val="32"/>
          <w:lang w:eastAsia="zh-CN"/>
        </w:rPr>
        <w:t>减少</w:t>
      </w:r>
      <w:r>
        <w:rPr>
          <w:rFonts w:hint="eastAsia" w:ascii="仿宋" w:hAnsi="仿宋" w:eastAsia="仿宋" w:cs="仿宋"/>
          <w:color w:val="auto"/>
          <w:kern w:val="0"/>
          <w:sz w:val="32"/>
          <w:szCs w:val="32"/>
        </w:rPr>
        <w:t>原因：</w:t>
      </w:r>
      <w:r>
        <w:rPr>
          <w:rFonts w:hint="eastAsia" w:ascii="仿宋" w:hAnsi="仿宋" w:eastAsia="仿宋" w:cs="仿宋"/>
          <w:color w:val="auto"/>
          <w:sz w:val="32"/>
        </w:rPr>
        <w:t>经费拨款</w:t>
      </w:r>
      <w:r>
        <w:rPr>
          <w:rFonts w:hint="eastAsia" w:ascii="仿宋" w:hAnsi="仿宋" w:eastAsia="仿宋" w:cs="仿宋"/>
          <w:color w:val="auto"/>
          <w:sz w:val="32"/>
          <w:lang w:eastAsia="zh-CN"/>
        </w:rPr>
        <w:t>减少</w:t>
      </w:r>
      <w:r>
        <w:rPr>
          <w:rFonts w:hint="eastAsia" w:ascii="仿宋" w:hAnsi="仿宋" w:eastAsia="仿宋" w:cs="仿宋"/>
          <w:bCs/>
          <w:color w:val="auto"/>
          <w:kern w:val="0"/>
          <w:sz w:val="32"/>
          <w:szCs w:val="32"/>
          <w:lang w:val="en-US" w:eastAsia="zh-CN"/>
        </w:rPr>
        <w:t>6.52</w:t>
      </w:r>
      <w:r>
        <w:rPr>
          <w:rFonts w:hint="eastAsia" w:ascii="仿宋" w:hAnsi="仿宋" w:eastAsia="仿宋" w:cs="仿宋"/>
          <w:color w:val="auto"/>
          <w:sz w:val="32"/>
        </w:rPr>
        <w:t>万元</w:t>
      </w:r>
      <w:r>
        <w:rPr>
          <w:rFonts w:hint="eastAsia" w:ascii="仿宋" w:hAnsi="仿宋" w:eastAsia="仿宋" w:cs="仿宋"/>
          <w:color w:val="auto"/>
          <w:sz w:val="32"/>
          <w:lang w:eastAsia="zh-CN"/>
        </w:rPr>
        <w:t>。</w:t>
      </w:r>
    </w:p>
    <w:p>
      <w:pPr>
        <w:widowControl/>
        <w:adjustRightInd w:val="0"/>
        <w:spacing w:line="560" w:lineRule="exact"/>
        <w:ind w:firstLine="643" w:firstLineChars="200"/>
        <w:rPr>
          <w:rFonts w:hint="eastAsia" w:ascii="仿宋" w:hAnsi="仿宋" w:eastAsia="仿宋_GB2312" w:cs="仿宋"/>
          <w:b/>
          <w:color w:val="auto"/>
          <w:kern w:val="0"/>
          <w:sz w:val="32"/>
          <w:szCs w:val="32"/>
          <w:lang w:val="en-US" w:eastAsia="zh-CN"/>
        </w:rPr>
      </w:pPr>
      <w:r>
        <w:rPr>
          <w:rFonts w:hint="eastAsia" w:ascii="楷体" w:hAnsi="楷体" w:eastAsia="楷体" w:cs="Helvetica"/>
          <w:b/>
          <w:color w:val="auto"/>
          <w:kern w:val="0"/>
          <w:sz w:val="32"/>
          <w:szCs w:val="32"/>
        </w:rPr>
        <w:t>2.预算支出情况</w:t>
      </w:r>
      <w:r>
        <w:rPr>
          <w:rFonts w:hint="eastAsia" w:ascii="仿宋" w:hAnsi="仿宋" w:eastAsia="仿宋" w:cs="仿宋"/>
          <w:b/>
          <w:color w:val="auto"/>
          <w:kern w:val="0"/>
          <w:sz w:val="32"/>
          <w:szCs w:val="32"/>
        </w:rPr>
        <w:t>：</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年单位预算支出</w:t>
      </w:r>
      <w:r>
        <w:rPr>
          <w:rFonts w:hint="eastAsia" w:ascii="仿宋_GB2312" w:hAnsi="仿宋_GB2312" w:eastAsia="仿宋_GB2312" w:cs="仿宋_GB2312"/>
          <w:color w:val="auto"/>
          <w:kern w:val="0"/>
          <w:sz w:val="32"/>
          <w:szCs w:val="32"/>
          <w:lang w:val="en-US" w:eastAsia="zh-CN"/>
        </w:rPr>
        <w:t>58.48</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w:t>
      </w:r>
      <w:r>
        <w:rPr>
          <w:rFonts w:hint="eastAsia" w:ascii="仿宋" w:hAnsi="仿宋" w:eastAsia="仿宋" w:cs="仿宋"/>
          <w:color w:val="auto"/>
          <w:kern w:val="0"/>
          <w:sz w:val="32"/>
          <w:szCs w:val="32"/>
        </w:rPr>
        <w:t>比上年</w:t>
      </w:r>
      <w:r>
        <w:rPr>
          <w:rFonts w:hint="eastAsia" w:ascii="仿宋" w:hAnsi="仿宋" w:eastAsia="仿宋" w:cs="仿宋"/>
          <w:color w:val="auto"/>
          <w:kern w:val="0"/>
          <w:sz w:val="32"/>
          <w:szCs w:val="32"/>
          <w:lang w:eastAsia="zh-CN"/>
        </w:rPr>
        <w:t>减少</w:t>
      </w:r>
      <w:r>
        <w:rPr>
          <w:rFonts w:hint="eastAsia" w:ascii="仿宋" w:hAnsi="仿宋" w:eastAsia="仿宋" w:cs="仿宋"/>
          <w:color w:val="auto"/>
          <w:kern w:val="0"/>
          <w:sz w:val="32"/>
          <w:szCs w:val="32"/>
          <w:lang w:val="en-US" w:eastAsia="zh-CN"/>
        </w:rPr>
        <w:t>6.52</w:t>
      </w:r>
      <w:r>
        <w:rPr>
          <w:rFonts w:hint="eastAsia" w:ascii="仿宋" w:hAnsi="仿宋" w:eastAsia="仿宋" w:cs="仿宋"/>
          <w:color w:val="auto"/>
          <w:kern w:val="0"/>
          <w:sz w:val="32"/>
          <w:szCs w:val="32"/>
        </w:rPr>
        <w:t>万元，</w:t>
      </w:r>
      <w:r>
        <w:rPr>
          <w:rFonts w:hint="eastAsia" w:ascii="仿宋" w:hAnsi="仿宋" w:eastAsia="仿宋" w:cs="仿宋"/>
          <w:color w:val="auto"/>
          <w:kern w:val="0"/>
          <w:sz w:val="32"/>
          <w:szCs w:val="32"/>
          <w:lang w:eastAsia="zh-CN"/>
        </w:rPr>
        <w:t>减少</w:t>
      </w:r>
      <w:r>
        <w:rPr>
          <w:rFonts w:hint="eastAsia" w:ascii="仿宋" w:hAnsi="仿宋" w:eastAsia="仿宋" w:cs="仿宋"/>
          <w:color w:val="auto"/>
          <w:kern w:val="0"/>
          <w:sz w:val="32"/>
          <w:szCs w:val="32"/>
          <w:lang w:val="en-US" w:eastAsia="zh-CN"/>
        </w:rPr>
        <w:t>10.03</w:t>
      </w:r>
      <w:r>
        <w:rPr>
          <w:rFonts w:hint="eastAsia" w:ascii="仿宋" w:hAnsi="仿宋" w:eastAsia="仿宋" w:cs="仿宋"/>
          <w:color w:val="auto"/>
          <w:kern w:val="0"/>
          <w:sz w:val="32"/>
          <w:szCs w:val="32"/>
        </w:rPr>
        <w:t>%。</w:t>
      </w:r>
      <w:r>
        <w:rPr>
          <w:rFonts w:hint="eastAsia" w:ascii="仿宋_GB2312" w:hAnsi="仿宋_GB2312" w:eastAsia="仿宋_GB2312" w:cs="仿宋_GB2312"/>
          <w:color w:val="auto"/>
          <w:kern w:val="0"/>
          <w:sz w:val="32"/>
          <w:szCs w:val="32"/>
        </w:rPr>
        <w:t>其中，基本支出</w:t>
      </w:r>
      <w:r>
        <w:rPr>
          <w:rFonts w:hint="eastAsia" w:ascii="仿宋_GB2312" w:hAnsi="仿宋_GB2312" w:eastAsia="仿宋_GB2312" w:cs="仿宋_GB2312"/>
          <w:color w:val="auto"/>
          <w:kern w:val="0"/>
          <w:sz w:val="32"/>
          <w:szCs w:val="32"/>
          <w:lang w:val="en-US" w:eastAsia="zh-CN"/>
        </w:rPr>
        <w:t>53.48</w:t>
      </w:r>
      <w:r>
        <w:rPr>
          <w:rFonts w:hint="eastAsia" w:ascii="仿宋_GB2312" w:hAnsi="仿宋_GB2312" w:eastAsia="仿宋_GB2312" w:cs="仿宋_GB2312"/>
          <w:color w:val="auto"/>
          <w:kern w:val="0"/>
          <w:sz w:val="32"/>
          <w:szCs w:val="32"/>
        </w:rPr>
        <w:t>万元，占总支出的</w:t>
      </w:r>
      <w:r>
        <w:rPr>
          <w:rFonts w:hint="eastAsia" w:ascii="仿宋_GB2312" w:hAnsi="仿宋_GB2312" w:eastAsia="仿宋_GB2312" w:cs="仿宋_GB2312"/>
          <w:color w:val="auto"/>
          <w:kern w:val="0"/>
          <w:sz w:val="32"/>
          <w:szCs w:val="32"/>
          <w:lang w:val="en-US" w:eastAsia="zh-CN"/>
        </w:rPr>
        <w:t>91.45</w:t>
      </w:r>
      <w:r>
        <w:rPr>
          <w:rFonts w:hint="eastAsia" w:ascii="仿宋_GB2312" w:hAnsi="仿宋_GB2312" w:eastAsia="仿宋_GB2312" w:cs="仿宋_GB2312"/>
          <w:color w:val="auto"/>
          <w:kern w:val="0"/>
          <w:sz w:val="32"/>
          <w:szCs w:val="32"/>
        </w:rPr>
        <w:t>%，较上年</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5.52</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9.4</w:t>
      </w:r>
      <w:r>
        <w:rPr>
          <w:rFonts w:hint="eastAsia" w:ascii="仿宋_GB2312" w:hAnsi="仿宋_GB2312" w:eastAsia="仿宋_GB2312" w:cs="仿宋_GB2312"/>
          <w:color w:val="auto"/>
          <w:kern w:val="0"/>
          <w:sz w:val="32"/>
          <w:szCs w:val="32"/>
        </w:rPr>
        <w:t>%；项目支出</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万元，占总支出的</w:t>
      </w:r>
      <w:r>
        <w:rPr>
          <w:rFonts w:hint="eastAsia" w:ascii="仿宋_GB2312" w:hAnsi="仿宋_GB2312" w:eastAsia="仿宋_GB2312" w:cs="仿宋_GB2312"/>
          <w:color w:val="auto"/>
          <w:kern w:val="0"/>
          <w:sz w:val="32"/>
          <w:szCs w:val="32"/>
          <w:lang w:val="en-US" w:eastAsia="zh-CN"/>
        </w:rPr>
        <w:t>8.55</w:t>
      </w:r>
      <w:r>
        <w:rPr>
          <w:rFonts w:hint="eastAsia" w:ascii="仿宋_GB2312" w:hAnsi="仿宋_GB2312" w:eastAsia="仿宋_GB2312" w:cs="仿宋_GB2312"/>
          <w:color w:val="auto"/>
          <w:kern w:val="0"/>
          <w:sz w:val="32"/>
          <w:szCs w:val="32"/>
        </w:rPr>
        <w:t>%。较上年减少</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万元，减少</w:t>
      </w:r>
      <w:r>
        <w:rPr>
          <w:rFonts w:hint="eastAsia" w:ascii="仿宋_GB2312" w:hAnsi="仿宋_GB2312" w:eastAsia="仿宋_GB2312" w:cs="仿宋_GB2312"/>
          <w:color w:val="auto"/>
          <w:kern w:val="0"/>
          <w:sz w:val="32"/>
          <w:szCs w:val="32"/>
          <w:lang w:val="en-US" w:eastAsia="zh-CN"/>
        </w:rPr>
        <w:t>16.7</w:t>
      </w:r>
      <w:r>
        <w:rPr>
          <w:rFonts w:hint="eastAsia" w:ascii="仿宋_GB2312" w:hAnsi="仿宋_GB2312" w:eastAsia="仿宋_GB2312" w:cs="仿宋_GB2312"/>
          <w:color w:val="auto"/>
          <w:kern w:val="0"/>
          <w:sz w:val="32"/>
          <w:szCs w:val="32"/>
        </w:rPr>
        <w:t>%。本年支出构成为：一般公共服务支出</w:t>
      </w:r>
      <w:r>
        <w:rPr>
          <w:rFonts w:hint="eastAsia" w:ascii="仿宋_GB2312" w:hAnsi="仿宋_GB2312" w:eastAsia="仿宋_GB2312" w:cs="仿宋_GB2312"/>
          <w:color w:val="auto"/>
          <w:kern w:val="0"/>
          <w:sz w:val="32"/>
          <w:szCs w:val="32"/>
          <w:lang w:val="en-US" w:eastAsia="zh-CN"/>
        </w:rPr>
        <w:t>46.9</w:t>
      </w:r>
      <w:r>
        <w:rPr>
          <w:rFonts w:hint="eastAsia" w:ascii="仿宋_GB2312" w:hAnsi="仿宋_GB2312" w:eastAsia="仿宋_GB2312" w:cs="仿宋_GB2312"/>
          <w:color w:val="auto"/>
          <w:kern w:val="0"/>
          <w:sz w:val="32"/>
          <w:szCs w:val="32"/>
        </w:rPr>
        <w:t>万元，占本年支出的</w:t>
      </w:r>
      <w:r>
        <w:rPr>
          <w:rFonts w:hint="eastAsia" w:ascii="仿宋_GB2312" w:hAnsi="仿宋_GB2312" w:eastAsia="仿宋_GB2312" w:cs="仿宋_GB2312"/>
          <w:color w:val="auto"/>
          <w:kern w:val="0"/>
          <w:sz w:val="32"/>
          <w:szCs w:val="32"/>
          <w:lang w:val="en-US" w:eastAsia="zh-CN"/>
        </w:rPr>
        <w:t>80.2</w:t>
      </w:r>
      <w:r>
        <w:rPr>
          <w:rFonts w:hint="eastAsia" w:ascii="仿宋_GB2312" w:hAnsi="仿宋_GB2312" w:eastAsia="仿宋_GB2312" w:cs="仿宋_GB2312"/>
          <w:color w:val="auto"/>
          <w:kern w:val="0"/>
          <w:sz w:val="32"/>
          <w:szCs w:val="32"/>
        </w:rPr>
        <w:t>%；社会保障和就业支出</w:t>
      </w:r>
      <w:r>
        <w:rPr>
          <w:rFonts w:hint="eastAsia" w:ascii="仿宋_GB2312" w:hAnsi="仿宋_GB2312" w:eastAsia="仿宋_GB2312" w:cs="仿宋_GB2312"/>
          <w:color w:val="auto"/>
          <w:kern w:val="0"/>
          <w:sz w:val="32"/>
          <w:szCs w:val="32"/>
          <w:lang w:val="en-US" w:eastAsia="zh-CN"/>
        </w:rPr>
        <w:t>8.28</w:t>
      </w:r>
      <w:r>
        <w:rPr>
          <w:rFonts w:hint="eastAsia" w:ascii="仿宋_GB2312" w:hAnsi="仿宋_GB2312" w:eastAsia="仿宋_GB2312" w:cs="仿宋_GB2312"/>
          <w:color w:val="auto"/>
          <w:kern w:val="0"/>
          <w:sz w:val="32"/>
          <w:szCs w:val="32"/>
        </w:rPr>
        <w:t>万元，占本年支出的</w:t>
      </w:r>
      <w:r>
        <w:rPr>
          <w:rFonts w:hint="eastAsia" w:ascii="仿宋_GB2312" w:hAnsi="仿宋_GB2312" w:eastAsia="仿宋_GB2312" w:cs="仿宋_GB2312"/>
          <w:color w:val="auto"/>
          <w:kern w:val="0"/>
          <w:sz w:val="32"/>
          <w:szCs w:val="32"/>
          <w:lang w:val="en-US" w:eastAsia="zh-CN"/>
        </w:rPr>
        <w:t>14.2</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；住房保障支出</w:t>
      </w:r>
      <w:r>
        <w:rPr>
          <w:rFonts w:hint="eastAsia" w:ascii="仿宋_GB2312" w:hAnsi="仿宋_GB2312" w:eastAsia="仿宋_GB2312" w:cs="仿宋_GB2312"/>
          <w:color w:val="auto"/>
          <w:kern w:val="0"/>
          <w:sz w:val="32"/>
          <w:szCs w:val="32"/>
          <w:lang w:val="en-US" w:eastAsia="zh-CN"/>
        </w:rPr>
        <w:t>3.3万元，</w:t>
      </w:r>
      <w:r>
        <w:rPr>
          <w:rFonts w:hint="eastAsia" w:ascii="仿宋_GB2312" w:hAnsi="仿宋_GB2312" w:eastAsia="仿宋_GB2312" w:cs="仿宋_GB2312"/>
          <w:color w:val="auto"/>
          <w:kern w:val="0"/>
          <w:sz w:val="32"/>
          <w:szCs w:val="32"/>
        </w:rPr>
        <w:t>占本年支出的</w:t>
      </w:r>
      <w:r>
        <w:rPr>
          <w:rFonts w:hint="eastAsia" w:ascii="仿宋_GB2312" w:hAnsi="仿宋_GB2312" w:eastAsia="仿宋_GB2312" w:cs="仿宋_GB2312"/>
          <w:color w:val="auto"/>
          <w:kern w:val="0"/>
          <w:sz w:val="32"/>
          <w:szCs w:val="32"/>
          <w:lang w:val="en-US" w:eastAsia="zh-CN"/>
        </w:rPr>
        <w:t>5.6</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p>
    <w:p>
      <w:pPr>
        <w:widowControl/>
        <w:adjustRightInd w:val="0"/>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支出</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rPr>
        <w:t>的原因：</w:t>
      </w:r>
      <w:r>
        <w:rPr>
          <w:rFonts w:hint="eastAsia" w:ascii="仿宋_GB2312" w:eastAsia="仿宋_GB2312"/>
          <w:color w:val="auto"/>
          <w:sz w:val="32"/>
        </w:rPr>
        <w:t>（1）</w:t>
      </w:r>
      <w:r>
        <w:rPr>
          <w:rFonts w:hint="eastAsia" w:ascii="仿宋_GB2312" w:hAnsi="仿宋_GB2312" w:eastAsia="仿宋_GB2312" w:cs="仿宋_GB2312"/>
          <w:color w:val="auto"/>
          <w:kern w:val="0"/>
          <w:sz w:val="32"/>
          <w:szCs w:val="32"/>
          <w:lang w:eastAsia="zh-CN"/>
        </w:rPr>
        <w:t>我单位退休减少</w:t>
      </w:r>
      <w:r>
        <w:rPr>
          <w:rFonts w:hint="eastAsia" w:ascii="仿宋_GB2312" w:hAnsi="仿宋_GB2312" w:eastAsia="仿宋_GB2312" w:cs="仿宋_GB2312"/>
          <w:color w:val="auto"/>
          <w:kern w:val="0"/>
          <w:sz w:val="32"/>
          <w:szCs w:val="32"/>
          <w:lang w:val="en-US" w:eastAsia="zh-CN"/>
        </w:rPr>
        <w:t>1人</w:t>
      </w:r>
      <w:r>
        <w:rPr>
          <w:rFonts w:hint="eastAsia" w:ascii="仿宋_GB2312" w:hAnsi="仿宋_GB2312" w:eastAsia="仿宋_GB2312" w:cs="仿宋_GB2312"/>
          <w:color w:val="auto"/>
          <w:kern w:val="0"/>
          <w:sz w:val="32"/>
          <w:szCs w:val="32"/>
          <w:lang w:eastAsia="zh-CN"/>
        </w:rPr>
        <w:t>，退休待遇由社保发放。</w:t>
      </w:r>
    </w:p>
    <w:p>
      <w:pPr>
        <w:widowControl/>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2023年项目支出较上年减少1万元，主要原因是压减一般培训类支出。</w:t>
      </w:r>
      <w:r>
        <w:rPr>
          <w:rFonts w:hint="eastAsia" w:ascii="仿宋_GB2312" w:hAnsi="仿宋_GB2312" w:eastAsia="仿宋_GB2312" w:cs="仿宋_GB2312"/>
          <w:color w:val="auto"/>
          <w:kern w:val="0"/>
          <w:sz w:val="32"/>
          <w:szCs w:val="32"/>
        </w:rPr>
        <w:t xml:space="preserve"> </w:t>
      </w:r>
    </w:p>
    <w:p>
      <w:pPr>
        <w:widowControl/>
        <w:spacing w:line="520" w:lineRule="exact"/>
        <w:ind w:firstLine="321" w:firstLineChars="100"/>
        <w:rPr>
          <w:rFonts w:ascii="黑体" w:hAnsi="黑体" w:eastAsia="黑体" w:cs="Helvetica"/>
          <w:b/>
          <w:bCs/>
          <w:color w:val="auto"/>
          <w:kern w:val="0"/>
          <w:sz w:val="32"/>
          <w:szCs w:val="32"/>
        </w:rPr>
      </w:pPr>
      <w:r>
        <w:rPr>
          <w:rFonts w:hint="eastAsia" w:ascii="仿宋" w:hAnsi="仿宋" w:eastAsia="仿宋" w:cs="Helvetica"/>
          <w:b/>
          <w:bCs/>
          <w:color w:val="auto"/>
          <w:kern w:val="0"/>
          <w:sz w:val="32"/>
          <w:szCs w:val="32"/>
        </w:rPr>
        <w:t>　</w:t>
      </w:r>
      <w:r>
        <w:rPr>
          <w:rFonts w:hint="eastAsia" w:ascii="黑体" w:hAnsi="黑体" w:eastAsia="黑体" w:cs="Helvetica"/>
          <w:b/>
          <w:bCs/>
          <w:color w:val="auto"/>
          <w:kern w:val="0"/>
          <w:sz w:val="32"/>
          <w:szCs w:val="32"/>
        </w:rPr>
        <w:t>四、机关运行经费安排情况</w:t>
      </w:r>
    </w:p>
    <w:p>
      <w:pPr>
        <w:widowControl/>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bCs/>
          <w:color w:val="auto"/>
          <w:kern w:val="0"/>
          <w:sz w:val="32"/>
          <w:szCs w:val="32"/>
        </w:rPr>
        <w:t>202</w:t>
      </w:r>
      <w:r>
        <w:rPr>
          <w:rFonts w:hint="eastAsia" w:ascii="仿宋" w:hAnsi="仿宋" w:eastAsia="仿宋" w:cs="仿宋"/>
          <w:bCs/>
          <w:color w:val="auto"/>
          <w:kern w:val="0"/>
          <w:sz w:val="32"/>
          <w:szCs w:val="32"/>
          <w:lang w:val="en-US" w:eastAsia="zh-CN"/>
        </w:rPr>
        <w:t>3</w:t>
      </w:r>
      <w:r>
        <w:rPr>
          <w:rFonts w:hint="eastAsia" w:ascii="仿宋" w:hAnsi="仿宋" w:eastAsia="仿宋" w:cs="仿宋"/>
          <w:bCs/>
          <w:color w:val="auto"/>
          <w:kern w:val="0"/>
          <w:sz w:val="32"/>
          <w:szCs w:val="32"/>
        </w:rPr>
        <w:t>年运行经费预算总额为</w:t>
      </w:r>
      <w:r>
        <w:rPr>
          <w:rFonts w:hint="eastAsia" w:ascii="仿宋" w:hAnsi="仿宋" w:eastAsia="仿宋" w:cs="仿宋"/>
          <w:bCs/>
          <w:color w:val="auto"/>
          <w:kern w:val="0"/>
          <w:sz w:val="32"/>
          <w:szCs w:val="32"/>
          <w:lang w:val="en-US" w:eastAsia="zh-CN"/>
        </w:rPr>
        <w:t>13</w:t>
      </w:r>
      <w:r>
        <w:rPr>
          <w:rFonts w:hint="eastAsia" w:ascii="仿宋" w:hAnsi="仿宋" w:eastAsia="仿宋" w:cs="仿宋"/>
          <w:bCs/>
          <w:color w:val="auto"/>
          <w:kern w:val="0"/>
          <w:sz w:val="32"/>
          <w:szCs w:val="32"/>
        </w:rPr>
        <w:t>万元，</w:t>
      </w:r>
      <w:r>
        <w:rPr>
          <w:rFonts w:hint="eastAsia" w:ascii="仿宋" w:hAnsi="仿宋" w:eastAsia="仿宋" w:cs="仿宋"/>
          <w:color w:val="auto"/>
          <w:sz w:val="32"/>
          <w:szCs w:val="32"/>
        </w:rPr>
        <w:t>全部为商品和服务支出，日常公用支出比上年增加</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万元，增长</w:t>
      </w:r>
      <w:r>
        <w:rPr>
          <w:rFonts w:hint="eastAsia" w:ascii="仿宋" w:hAnsi="仿宋" w:eastAsia="仿宋" w:cs="仿宋"/>
          <w:color w:val="auto"/>
          <w:sz w:val="32"/>
          <w:szCs w:val="32"/>
          <w:lang w:val="en-US" w:eastAsia="zh-CN"/>
        </w:rPr>
        <w:t>44.44</w:t>
      </w:r>
      <w:r>
        <w:rPr>
          <w:rFonts w:hint="eastAsia" w:ascii="仿宋" w:hAnsi="仿宋" w:eastAsia="仿宋" w:cs="仿宋"/>
          <w:color w:val="auto"/>
          <w:sz w:val="32"/>
          <w:szCs w:val="32"/>
        </w:rPr>
        <w:t>%。增加原因主要是：往年公用服务开支方面有部分由市统计局统一承担，今年单位自己承担了部分，所以调增了标准。</w:t>
      </w:r>
    </w:p>
    <w:p>
      <w:pPr>
        <w:widowControl/>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机关运行经费分项为：办公费</w:t>
      </w:r>
      <w:r>
        <w:rPr>
          <w:rFonts w:hint="eastAsia" w:ascii="仿宋" w:hAnsi="仿宋" w:eastAsia="仿宋" w:cs="仿宋"/>
          <w:color w:val="auto"/>
          <w:sz w:val="32"/>
          <w:szCs w:val="32"/>
          <w:lang w:val="en-US" w:eastAsia="zh-CN"/>
        </w:rPr>
        <w:t>4.5</w:t>
      </w:r>
      <w:r>
        <w:rPr>
          <w:rFonts w:hint="eastAsia" w:ascii="仿宋" w:hAnsi="仿宋" w:eastAsia="仿宋" w:cs="仿宋"/>
          <w:color w:val="auto"/>
          <w:sz w:val="32"/>
          <w:szCs w:val="32"/>
        </w:rPr>
        <w:t>万元，印刷费</w:t>
      </w:r>
      <w:r>
        <w:rPr>
          <w:rFonts w:hint="eastAsia" w:ascii="仿宋" w:hAnsi="仿宋" w:eastAsia="仿宋" w:cs="仿宋"/>
          <w:color w:val="auto"/>
          <w:sz w:val="32"/>
          <w:szCs w:val="32"/>
          <w:lang w:val="en-US" w:eastAsia="zh-CN"/>
        </w:rPr>
        <w:t>0.46</w:t>
      </w:r>
      <w:r>
        <w:rPr>
          <w:rFonts w:hint="eastAsia" w:ascii="仿宋" w:hAnsi="仿宋" w:eastAsia="仿宋" w:cs="仿宋"/>
          <w:color w:val="auto"/>
          <w:sz w:val="32"/>
          <w:szCs w:val="32"/>
        </w:rPr>
        <w:t>万元，差旅费</w:t>
      </w:r>
      <w:r>
        <w:rPr>
          <w:rFonts w:hint="eastAsia" w:ascii="仿宋" w:hAnsi="仿宋" w:eastAsia="仿宋" w:cs="仿宋"/>
          <w:color w:val="auto"/>
          <w:sz w:val="32"/>
          <w:szCs w:val="32"/>
          <w:lang w:val="en-US" w:eastAsia="zh-CN"/>
        </w:rPr>
        <w:t>0.94</w:t>
      </w:r>
      <w:r>
        <w:rPr>
          <w:rFonts w:hint="eastAsia" w:ascii="仿宋" w:hAnsi="仿宋" w:eastAsia="仿宋" w:cs="仿宋"/>
          <w:color w:val="auto"/>
          <w:sz w:val="32"/>
          <w:szCs w:val="32"/>
        </w:rPr>
        <w:t>万元，福利费</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万元，其他交通费</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万元，其他商品和服务支出</w:t>
      </w:r>
      <w:r>
        <w:rPr>
          <w:rFonts w:hint="eastAsia" w:ascii="仿宋" w:hAnsi="仿宋" w:eastAsia="仿宋" w:cs="仿宋"/>
          <w:color w:val="auto"/>
          <w:sz w:val="32"/>
          <w:szCs w:val="32"/>
          <w:lang w:val="en-US" w:eastAsia="zh-CN"/>
        </w:rPr>
        <w:t>3.9</w:t>
      </w:r>
      <w:r>
        <w:rPr>
          <w:rFonts w:hint="eastAsia" w:ascii="仿宋" w:hAnsi="仿宋" w:eastAsia="仿宋" w:cs="仿宋"/>
          <w:color w:val="auto"/>
          <w:sz w:val="32"/>
          <w:szCs w:val="32"/>
        </w:rPr>
        <w:t>万元。</w:t>
      </w:r>
    </w:p>
    <w:p>
      <w:pPr>
        <w:widowControl/>
        <w:adjustRightInd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五、一般公共预算“三公”经费及增减变化情况</w:t>
      </w:r>
    </w:p>
    <w:p>
      <w:pPr>
        <w:widowControl/>
        <w:spacing w:line="520" w:lineRule="exact"/>
        <w:ind w:firstLine="640" w:firstLineChars="200"/>
        <w:rPr>
          <w:rFonts w:ascii="仿宋" w:hAnsi="仿宋" w:eastAsia="仿宋" w:cs="Arial"/>
          <w:color w:val="auto"/>
          <w:kern w:val="0"/>
          <w:sz w:val="32"/>
          <w:szCs w:val="32"/>
        </w:rPr>
      </w:pPr>
      <w:r>
        <w:rPr>
          <w:rFonts w:hint="eastAsia" w:ascii="仿宋" w:hAnsi="仿宋" w:eastAsia="仿宋" w:cs="Helvetica"/>
          <w:bCs/>
          <w:color w:val="auto"/>
          <w:kern w:val="0"/>
          <w:sz w:val="32"/>
          <w:szCs w:val="32"/>
        </w:rPr>
        <w:t>202</w:t>
      </w:r>
      <w:r>
        <w:rPr>
          <w:rFonts w:hint="eastAsia" w:ascii="仿宋" w:hAnsi="仿宋" w:eastAsia="仿宋" w:cs="Helvetica"/>
          <w:bCs/>
          <w:color w:val="auto"/>
          <w:kern w:val="0"/>
          <w:sz w:val="32"/>
          <w:szCs w:val="32"/>
          <w:lang w:val="en-US" w:eastAsia="zh-CN"/>
        </w:rPr>
        <w:t>3</w:t>
      </w:r>
      <w:r>
        <w:rPr>
          <w:rFonts w:hint="eastAsia" w:ascii="仿宋" w:hAnsi="仿宋" w:eastAsia="仿宋" w:cs="Helvetica"/>
          <w:bCs/>
          <w:color w:val="auto"/>
          <w:kern w:val="0"/>
          <w:sz w:val="32"/>
          <w:szCs w:val="32"/>
        </w:rPr>
        <w:t>年“三</w:t>
      </w:r>
      <w:r>
        <w:rPr>
          <w:rFonts w:ascii="仿宋" w:hAnsi="仿宋" w:eastAsia="仿宋" w:cs="Helvetica"/>
          <w:bCs/>
          <w:color w:val="auto"/>
          <w:kern w:val="0"/>
          <w:sz w:val="32"/>
          <w:szCs w:val="32"/>
        </w:rPr>
        <w:t>公”经费</w:t>
      </w:r>
      <w:r>
        <w:rPr>
          <w:rFonts w:hint="eastAsia" w:ascii="仿宋" w:hAnsi="仿宋" w:eastAsia="仿宋" w:cs="Helvetica"/>
          <w:bCs/>
          <w:color w:val="auto"/>
          <w:kern w:val="0"/>
          <w:sz w:val="32"/>
          <w:szCs w:val="32"/>
        </w:rPr>
        <w:t>预算总额</w:t>
      </w:r>
      <w:r>
        <w:rPr>
          <w:rFonts w:ascii="仿宋" w:hAnsi="仿宋" w:eastAsia="仿宋" w:cs="Helvetica"/>
          <w:bCs/>
          <w:color w:val="auto"/>
          <w:kern w:val="0"/>
          <w:sz w:val="32"/>
          <w:szCs w:val="32"/>
        </w:rPr>
        <w:t>0</w:t>
      </w:r>
      <w:r>
        <w:rPr>
          <w:rFonts w:hint="eastAsia" w:ascii="仿宋" w:hAnsi="仿宋" w:eastAsia="仿宋" w:cs="Helvetica"/>
          <w:bCs/>
          <w:color w:val="auto"/>
          <w:kern w:val="0"/>
          <w:sz w:val="32"/>
          <w:szCs w:val="32"/>
        </w:rPr>
        <w:t>万</w:t>
      </w:r>
      <w:r>
        <w:rPr>
          <w:rFonts w:ascii="仿宋" w:hAnsi="仿宋" w:eastAsia="仿宋" w:cs="Helvetica"/>
          <w:bCs/>
          <w:color w:val="auto"/>
          <w:kern w:val="0"/>
          <w:sz w:val="32"/>
          <w:szCs w:val="32"/>
        </w:rPr>
        <w:t>元</w:t>
      </w:r>
      <w:r>
        <w:rPr>
          <w:rFonts w:hint="eastAsia" w:ascii="仿宋" w:hAnsi="仿宋" w:eastAsia="仿宋" w:cs="Helvetica"/>
          <w:bCs/>
          <w:color w:val="auto"/>
          <w:kern w:val="0"/>
          <w:sz w:val="32"/>
          <w:szCs w:val="32"/>
        </w:rPr>
        <w:t>，与上年</w:t>
      </w:r>
      <w:r>
        <w:rPr>
          <w:rFonts w:ascii="仿宋" w:hAnsi="仿宋" w:eastAsia="仿宋" w:cs="Helvetica"/>
          <w:bCs/>
          <w:color w:val="auto"/>
          <w:kern w:val="0"/>
          <w:sz w:val="32"/>
          <w:szCs w:val="32"/>
        </w:rPr>
        <w:t>持平，</w:t>
      </w:r>
      <w:r>
        <w:rPr>
          <w:rFonts w:hint="eastAsia" w:ascii="仿宋" w:hAnsi="仿宋" w:eastAsia="仿宋" w:cs="Helvetica"/>
          <w:bCs/>
          <w:color w:val="auto"/>
          <w:kern w:val="0"/>
          <w:sz w:val="32"/>
          <w:szCs w:val="32"/>
        </w:rPr>
        <w:t>明细</w:t>
      </w:r>
      <w:r>
        <w:rPr>
          <w:rFonts w:ascii="仿宋" w:hAnsi="仿宋" w:eastAsia="仿宋" w:cs="Helvetica"/>
          <w:bCs/>
          <w:color w:val="auto"/>
          <w:kern w:val="0"/>
          <w:sz w:val="32"/>
          <w:szCs w:val="32"/>
        </w:rPr>
        <w:t>如下：</w:t>
      </w:r>
    </w:p>
    <w:p>
      <w:pPr>
        <w:widowControl/>
        <w:spacing w:line="520" w:lineRule="exact"/>
        <w:ind w:firstLine="640" w:firstLineChars="200"/>
        <w:rPr>
          <w:rFonts w:ascii="仿宋" w:hAnsi="仿宋" w:eastAsia="仿宋" w:cs="Arial"/>
          <w:color w:val="auto"/>
          <w:kern w:val="0"/>
          <w:sz w:val="32"/>
          <w:szCs w:val="32"/>
        </w:rPr>
      </w:pPr>
      <w:r>
        <w:rPr>
          <w:rFonts w:hint="eastAsia" w:ascii="仿宋" w:hAnsi="仿宋" w:eastAsia="仿宋" w:cs="Arial"/>
          <w:color w:val="auto"/>
          <w:sz w:val="32"/>
          <w:szCs w:val="32"/>
        </w:rPr>
        <w:t>1、因公出国（境）费</w:t>
      </w:r>
      <w:r>
        <w:rPr>
          <w:rFonts w:ascii="仿宋" w:hAnsi="仿宋" w:eastAsia="仿宋" w:cs="Arial"/>
          <w:color w:val="auto"/>
          <w:sz w:val="32"/>
          <w:szCs w:val="32"/>
        </w:rPr>
        <w:t>0</w:t>
      </w:r>
      <w:r>
        <w:rPr>
          <w:rFonts w:hint="eastAsia" w:ascii="仿宋" w:hAnsi="仿宋" w:eastAsia="仿宋" w:cs="Arial"/>
          <w:color w:val="auto"/>
          <w:sz w:val="32"/>
          <w:szCs w:val="32"/>
        </w:rPr>
        <w:t>万元，与</w:t>
      </w:r>
      <w:r>
        <w:rPr>
          <w:rFonts w:ascii="仿宋" w:hAnsi="仿宋" w:eastAsia="仿宋" w:cs="Arial"/>
          <w:color w:val="auto"/>
          <w:sz w:val="32"/>
          <w:szCs w:val="32"/>
        </w:rPr>
        <w:t>上年持平。</w:t>
      </w:r>
    </w:p>
    <w:p>
      <w:pPr>
        <w:widowControl/>
        <w:spacing w:line="520" w:lineRule="exact"/>
        <w:ind w:firstLine="480"/>
        <w:jc w:val="left"/>
        <w:rPr>
          <w:rFonts w:ascii="仿宋" w:hAnsi="仿宋" w:eastAsia="仿宋" w:cs="Arial"/>
          <w:color w:val="auto"/>
          <w:sz w:val="32"/>
          <w:szCs w:val="32"/>
        </w:rPr>
      </w:pPr>
      <w:r>
        <w:rPr>
          <w:rFonts w:hint="eastAsia" w:ascii="仿宋" w:hAnsi="仿宋" w:eastAsia="仿宋" w:cs="Arial"/>
          <w:color w:val="auto"/>
          <w:sz w:val="32"/>
          <w:szCs w:val="32"/>
        </w:rPr>
        <w:t xml:space="preserve"> 2、公务接待费</w:t>
      </w:r>
      <w:r>
        <w:rPr>
          <w:rFonts w:ascii="仿宋" w:hAnsi="仿宋" w:eastAsia="仿宋" w:cs="Arial"/>
          <w:color w:val="auto"/>
          <w:sz w:val="32"/>
          <w:szCs w:val="32"/>
        </w:rPr>
        <w:t>0</w:t>
      </w:r>
      <w:r>
        <w:rPr>
          <w:rFonts w:hint="eastAsia" w:ascii="仿宋" w:hAnsi="仿宋" w:eastAsia="仿宋" w:cs="Arial"/>
          <w:color w:val="auto"/>
          <w:sz w:val="32"/>
          <w:szCs w:val="32"/>
        </w:rPr>
        <w:t>万元</w:t>
      </w:r>
      <w:r>
        <w:rPr>
          <w:rFonts w:ascii="仿宋" w:hAnsi="仿宋" w:eastAsia="仿宋" w:cs="Arial"/>
          <w:color w:val="auto"/>
          <w:sz w:val="32"/>
          <w:szCs w:val="32"/>
        </w:rPr>
        <w:t>，</w:t>
      </w:r>
      <w:r>
        <w:rPr>
          <w:rFonts w:hint="eastAsia" w:ascii="仿宋" w:hAnsi="仿宋" w:eastAsia="仿宋" w:cs="Arial"/>
          <w:color w:val="auto"/>
          <w:sz w:val="32"/>
          <w:szCs w:val="32"/>
        </w:rPr>
        <w:t>与</w:t>
      </w:r>
      <w:r>
        <w:rPr>
          <w:rFonts w:ascii="仿宋" w:hAnsi="仿宋" w:eastAsia="仿宋" w:cs="Arial"/>
          <w:color w:val="auto"/>
          <w:sz w:val="32"/>
          <w:szCs w:val="32"/>
        </w:rPr>
        <w:t>上年持平。</w:t>
      </w:r>
    </w:p>
    <w:p>
      <w:pPr>
        <w:widowControl/>
        <w:spacing w:line="520" w:lineRule="exact"/>
        <w:ind w:firstLine="640" w:firstLineChars="200"/>
        <w:jc w:val="left"/>
        <w:rPr>
          <w:rFonts w:ascii="仿宋" w:hAnsi="仿宋" w:eastAsia="仿宋" w:cs="仿宋"/>
          <w:color w:val="auto"/>
          <w:kern w:val="0"/>
          <w:sz w:val="32"/>
          <w:szCs w:val="32"/>
        </w:rPr>
      </w:pPr>
      <w:r>
        <w:rPr>
          <w:rFonts w:hint="eastAsia" w:ascii="仿宋" w:hAnsi="仿宋" w:eastAsia="仿宋" w:cs="Arial"/>
          <w:color w:val="auto"/>
          <w:sz w:val="32"/>
          <w:szCs w:val="32"/>
        </w:rPr>
        <w:t>3、公务用车购置及运行维护费</w:t>
      </w:r>
      <w:r>
        <w:rPr>
          <w:rFonts w:ascii="仿宋" w:hAnsi="仿宋" w:eastAsia="仿宋" w:cs="Arial"/>
          <w:color w:val="auto"/>
          <w:sz w:val="32"/>
          <w:szCs w:val="32"/>
        </w:rPr>
        <w:t>0</w:t>
      </w:r>
      <w:r>
        <w:rPr>
          <w:rFonts w:hint="eastAsia" w:ascii="仿宋" w:hAnsi="仿宋" w:eastAsia="仿宋" w:cs="Arial"/>
          <w:color w:val="auto"/>
          <w:sz w:val="32"/>
          <w:szCs w:val="32"/>
        </w:rPr>
        <w:t>万元，比</w:t>
      </w:r>
      <w:r>
        <w:rPr>
          <w:rFonts w:ascii="仿宋" w:hAnsi="仿宋" w:eastAsia="仿宋" w:cs="Arial"/>
          <w:color w:val="auto"/>
          <w:sz w:val="32"/>
          <w:szCs w:val="32"/>
        </w:rPr>
        <w:t>上年</w:t>
      </w:r>
      <w:r>
        <w:rPr>
          <w:rFonts w:hint="eastAsia" w:ascii="仿宋" w:hAnsi="仿宋" w:eastAsia="仿宋" w:cs="Arial"/>
          <w:color w:val="auto"/>
          <w:sz w:val="32"/>
          <w:szCs w:val="32"/>
        </w:rPr>
        <w:t>持平</w:t>
      </w:r>
      <w:r>
        <w:rPr>
          <w:rFonts w:ascii="仿宋" w:hAnsi="仿宋" w:eastAsia="仿宋" w:cs="Arial"/>
          <w:color w:val="auto"/>
          <w:sz w:val="32"/>
          <w:szCs w:val="32"/>
        </w:rPr>
        <w:t>。</w:t>
      </w:r>
      <w:r>
        <w:rPr>
          <w:rFonts w:hint="eastAsia" w:ascii="仿宋" w:hAnsi="仿宋" w:eastAsia="仿宋" w:cs="Arial"/>
          <w:color w:val="auto"/>
          <w:sz w:val="32"/>
          <w:szCs w:val="32"/>
        </w:rPr>
        <w:t>我单位公务</w:t>
      </w:r>
      <w:r>
        <w:rPr>
          <w:rFonts w:ascii="仿宋" w:hAnsi="仿宋" w:eastAsia="仿宋" w:cs="Arial"/>
          <w:color w:val="auto"/>
          <w:sz w:val="32"/>
          <w:szCs w:val="32"/>
        </w:rPr>
        <w:t>用车</w:t>
      </w:r>
      <w:r>
        <w:rPr>
          <w:rFonts w:hint="eastAsia" w:ascii="仿宋" w:hAnsi="仿宋" w:eastAsia="仿宋" w:cs="Arial"/>
          <w:color w:val="auto"/>
          <w:sz w:val="32"/>
          <w:szCs w:val="32"/>
        </w:rPr>
        <w:t>全</w:t>
      </w:r>
      <w:r>
        <w:rPr>
          <w:rFonts w:ascii="仿宋" w:hAnsi="仿宋" w:eastAsia="仿宋" w:cs="Arial"/>
          <w:color w:val="auto"/>
          <w:sz w:val="32"/>
          <w:szCs w:val="32"/>
        </w:rPr>
        <w:t>部由</w:t>
      </w:r>
      <w:r>
        <w:rPr>
          <w:rFonts w:hint="eastAsia" w:ascii="仿宋" w:hAnsi="仿宋" w:eastAsia="仿宋" w:cs="Arial"/>
          <w:color w:val="auto"/>
          <w:sz w:val="32"/>
          <w:szCs w:val="32"/>
          <w:lang w:eastAsia="zh-CN"/>
        </w:rPr>
        <w:t>市统计</w:t>
      </w:r>
      <w:r>
        <w:rPr>
          <w:rFonts w:ascii="仿宋" w:hAnsi="仿宋" w:eastAsia="仿宋" w:cs="Arial"/>
          <w:color w:val="auto"/>
          <w:sz w:val="32"/>
          <w:szCs w:val="32"/>
        </w:rPr>
        <w:t>局机关统一管理，统一核算，故没有安排公务用车运行费</w:t>
      </w:r>
      <w:r>
        <w:rPr>
          <w:rFonts w:hint="eastAsia" w:ascii="仿宋" w:hAnsi="仿宋" w:eastAsia="仿宋" w:cs="Arial"/>
          <w:color w:val="auto"/>
          <w:sz w:val="32"/>
          <w:szCs w:val="32"/>
        </w:rPr>
        <w:t>相</w:t>
      </w:r>
      <w:r>
        <w:rPr>
          <w:rFonts w:ascii="仿宋" w:hAnsi="仿宋" w:eastAsia="仿宋" w:cs="Arial"/>
          <w:color w:val="auto"/>
          <w:sz w:val="32"/>
          <w:szCs w:val="32"/>
        </w:rPr>
        <w:t>关预算。</w:t>
      </w:r>
    </w:p>
    <w:p>
      <w:pPr>
        <w:widowControl/>
        <w:adjustRightInd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六、政府采购安排情况说明</w:t>
      </w:r>
    </w:p>
    <w:p>
      <w:pPr>
        <w:widowControl/>
        <w:adjustRightInd w:val="0"/>
        <w:spacing w:line="560" w:lineRule="exac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我单位政府采购工作由省统计局统一管理，按照省财政要求办理政府采购业务，我单位未单独安排政府采购预算。</w:t>
      </w:r>
    </w:p>
    <w:p>
      <w:pPr>
        <w:widowControl/>
        <w:adjustRightInd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七、国有资产占用情况</w:t>
      </w:r>
    </w:p>
    <w:p>
      <w:pPr>
        <w:widowControl/>
        <w:adjustRightInd w:val="0"/>
        <w:spacing w:line="560" w:lineRule="exac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我单位固定资产均由市统计局机关统一管理，统一按照</w:t>
      </w:r>
      <w:r>
        <w:rPr>
          <w:rFonts w:hint="eastAsia" w:ascii="仿宋" w:hAnsi="仿宋" w:eastAsia="仿宋" w:cs="仿宋"/>
          <w:color w:val="auto"/>
          <w:kern w:val="0"/>
          <w:sz w:val="32"/>
          <w:szCs w:val="32"/>
          <w:lang w:eastAsia="zh-CN"/>
        </w:rPr>
        <w:t>当地</w:t>
      </w:r>
      <w:r>
        <w:rPr>
          <w:rFonts w:hint="eastAsia" w:ascii="仿宋" w:hAnsi="仿宋" w:eastAsia="仿宋" w:cs="仿宋"/>
          <w:color w:val="auto"/>
          <w:kern w:val="0"/>
          <w:sz w:val="32"/>
          <w:szCs w:val="32"/>
        </w:rPr>
        <w:t>财政要求，管理核算国有资产，我单位目前未单独核算国有资产。</w:t>
      </w:r>
    </w:p>
    <w:p>
      <w:pPr>
        <w:widowControl/>
        <w:adjustRightInd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八、重点项目预算绩效情况</w:t>
      </w:r>
    </w:p>
    <w:p>
      <w:pPr>
        <w:widowControl/>
        <w:spacing w:line="560" w:lineRule="exact"/>
        <w:ind w:firstLine="420" w:firstLineChars="200"/>
        <w:rPr>
          <w:rFonts w:ascii="仿宋" w:hAnsi="仿宋" w:eastAsia="仿宋" w:cs="仿宋"/>
          <w:bCs/>
          <w:color w:val="auto"/>
          <w:kern w:val="0"/>
          <w:sz w:val="32"/>
          <w:szCs w:val="32"/>
        </w:rPr>
      </w:pPr>
      <w:r>
        <w:rPr>
          <w:rFonts w:hint="eastAsia" w:ascii="仿宋" w:hAnsi="仿宋" w:eastAsia="仿宋" w:cs="仿宋"/>
          <w:color w:val="auto"/>
        </w:rPr>
        <w:t>“</w:t>
      </w:r>
      <w:r>
        <w:rPr>
          <w:rFonts w:hint="eastAsia" w:ascii="仿宋" w:hAnsi="仿宋" w:eastAsia="仿宋" w:cs="仿宋"/>
          <w:bCs/>
          <w:color w:val="auto"/>
          <w:kern w:val="0"/>
          <w:sz w:val="32"/>
          <w:szCs w:val="32"/>
        </w:rPr>
        <w:t>全省统计执法专项经费”主要内容是：一是对执法骨干开展业务培训；二是开展统计执法宣传；三是开展执法检查、督办以及数据质量抽查；四是其他应急执法检查和专项检查任务。202</w:t>
      </w:r>
      <w:r>
        <w:rPr>
          <w:rFonts w:hint="eastAsia" w:ascii="仿宋" w:hAnsi="仿宋" w:eastAsia="仿宋" w:cs="仿宋"/>
          <w:bCs/>
          <w:color w:val="auto"/>
          <w:kern w:val="0"/>
          <w:sz w:val="32"/>
          <w:szCs w:val="32"/>
          <w:lang w:val="en-US" w:eastAsia="zh-CN"/>
        </w:rPr>
        <w:t>3</w:t>
      </w:r>
      <w:r>
        <w:rPr>
          <w:rFonts w:hint="eastAsia" w:ascii="仿宋" w:hAnsi="仿宋" w:eastAsia="仿宋" w:cs="仿宋"/>
          <w:bCs/>
          <w:color w:val="auto"/>
          <w:kern w:val="0"/>
          <w:sz w:val="32"/>
          <w:szCs w:val="32"/>
        </w:rPr>
        <w:t>年</w:t>
      </w:r>
      <w:r>
        <w:rPr>
          <w:rFonts w:hint="eastAsia" w:ascii="仿宋" w:hAnsi="仿宋" w:eastAsia="仿宋" w:cs="仿宋"/>
          <w:color w:val="auto"/>
          <w:sz w:val="32"/>
        </w:rPr>
        <w:t>预算安排</w:t>
      </w:r>
      <w:r>
        <w:rPr>
          <w:rFonts w:hint="eastAsia" w:ascii="仿宋" w:hAnsi="仿宋" w:eastAsia="仿宋" w:cs="仿宋"/>
          <w:color w:val="auto"/>
          <w:sz w:val="32"/>
          <w:lang w:val="en-US" w:eastAsia="zh-CN"/>
        </w:rPr>
        <w:t>5</w:t>
      </w:r>
      <w:r>
        <w:rPr>
          <w:rFonts w:hint="eastAsia" w:ascii="仿宋" w:hAnsi="仿宋" w:eastAsia="仿宋" w:cs="仿宋"/>
          <w:color w:val="auto"/>
          <w:sz w:val="32"/>
        </w:rPr>
        <w:t>万元，全部为当年一般公共预算财政拨款。</w:t>
      </w:r>
    </w:p>
    <w:p>
      <w:pPr>
        <w:widowControl/>
        <w:spacing w:line="560" w:lineRule="exact"/>
        <w:ind w:firstLine="640" w:firstLineChars="200"/>
        <w:rPr>
          <w:rFonts w:ascii="仿宋" w:hAnsi="仿宋" w:eastAsia="仿宋" w:cs="仿宋"/>
          <w:color w:val="auto"/>
          <w:sz w:val="32"/>
        </w:rPr>
      </w:pPr>
      <w:r>
        <w:rPr>
          <w:rFonts w:hint="eastAsia" w:ascii="仿宋" w:hAnsi="仿宋" w:eastAsia="仿宋" w:cs="仿宋"/>
          <w:color w:val="auto"/>
          <w:sz w:val="32"/>
        </w:rPr>
        <w:t>202</w:t>
      </w:r>
      <w:r>
        <w:rPr>
          <w:rFonts w:hint="eastAsia" w:ascii="仿宋" w:hAnsi="仿宋" w:eastAsia="仿宋" w:cs="仿宋"/>
          <w:color w:val="auto"/>
          <w:sz w:val="32"/>
          <w:lang w:val="en-US" w:eastAsia="zh-CN"/>
        </w:rPr>
        <w:t>3</w:t>
      </w:r>
      <w:r>
        <w:rPr>
          <w:rFonts w:hint="eastAsia" w:ascii="仿宋" w:hAnsi="仿宋" w:eastAsia="仿宋" w:cs="仿宋"/>
          <w:color w:val="auto"/>
          <w:sz w:val="32"/>
        </w:rPr>
        <w:t>年度项目绩效总目标是：健全统计执法机制，强化统计基层基础工作建设，完成对统计执法和数据质量的核查，严肃整治在统计上弄虚作假的行为。进行执法检查，严肃查处违纪违法行为。全面提高我市规上企业的数据质量，提供高质量的监测成果，提升监测分析水平。对规上企业统计数据监测数据库进行更新维护，完成统计数据监测分析报告，印制数据产品。</w:t>
      </w:r>
    </w:p>
    <w:p>
      <w:pPr>
        <w:widowControl/>
        <w:spacing w:line="560" w:lineRule="exact"/>
        <w:ind w:firstLine="640" w:firstLineChars="200"/>
        <w:rPr>
          <w:rFonts w:ascii="仿宋" w:hAnsi="仿宋" w:eastAsia="仿宋" w:cs="仿宋"/>
          <w:color w:val="auto"/>
          <w:sz w:val="32"/>
        </w:rPr>
      </w:pPr>
      <w:r>
        <w:rPr>
          <w:rFonts w:hint="eastAsia" w:ascii="仿宋" w:hAnsi="仿宋" w:eastAsia="仿宋" w:cs="仿宋"/>
          <w:color w:val="auto"/>
          <w:sz w:val="32"/>
        </w:rPr>
        <w:t>产出指标：监测分析报告≥12篇；数据库更新频率是每月更新；数据质量核查频次为</w:t>
      </w:r>
      <w:r>
        <w:rPr>
          <w:rFonts w:hint="eastAsia" w:ascii="仿宋" w:hAnsi="仿宋" w:eastAsia="仿宋" w:cs="仿宋"/>
          <w:color w:val="auto"/>
          <w:sz w:val="32"/>
          <w:lang w:val="en-US" w:eastAsia="zh-CN"/>
        </w:rPr>
        <w:t>60</w:t>
      </w:r>
      <w:r>
        <w:rPr>
          <w:rFonts w:hint="eastAsia" w:ascii="仿宋" w:hAnsi="仿宋" w:eastAsia="仿宋" w:cs="仿宋"/>
          <w:color w:val="auto"/>
          <w:sz w:val="32"/>
        </w:rPr>
        <w:t>次/年；</w:t>
      </w:r>
      <w:r>
        <w:rPr>
          <w:rFonts w:hint="eastAsia" w:ascii="仿宋" w:hAnsi="仿宋" w:eastAsia="仿宋" w:cs="仿宋"/>
          <w:color w:val="auto"/>
          <w:sz w:val="32"/>
          <w:lang w:eastAsia="zh-CN"/>
        </w:rPr>
        <w:t>办公用品采购验收通过率</w:t>
      </w:r>
      <w:r>
        <w:rPr>
          <w:rFonts w:hint="eastAsia" w:ascii="仿宋" w:hAnsi="仿宋" w:eastAsia="仿宋" w:cs="仿宋"/>
          <w:color w:val="auto"/>
          <w:sz w:val="32"/>
          <w:lang w:val="en-US" w:eastAsia="zh-CN"/>
        </w:rPr>
        <w:t>100%；</w:t>
      </w:r>
      <w:r>
        <w:rPr>
          <w:rFonts w:hint="eastAsia" w:ascii="仿宋" w:hAnsi="仿宋" w:eastAsia="仿宋" w:cs="仿宋"/>
          <w:color w:val="auto"/>
          <w:sz w:val="32"/>
        </w:rPr>
        <w:t>统计普法宣传工作落实率100%；违法案件处理率100%；数据质量核查结果反馈落实率100%；结果公布时间为12月。</w:t>
      </w:r>
    </w:p>
    <w:p>
      <w:pPr>
        <w:widowControl/>
        <w:spacing w:line="560" w:lineRule="exact"/>
        <w:ind w:firstLine="640" w:firstLineChars="200"/>
        <w:rPr>
          <w:rFonts w:ascii="仿宋" w:hAnsi="仿宋" w:eastAsia="仿宋" w:cs="仿宋"/>
          <w:color w:val="auto"/>
          <w:sz w:val="32"/>
        </w:rPr>
      </w:pPr>
      <w:r>
        <w:rPr>
          <w:rFonts w:hint="eastAsia" w:ascii="仿宋" w:hAnsi="仿宋" w:eastAsia="仿宋" w:cs="仿宋"/>
          <w:color w:val="auto"/>
          <w:sz w:val="32"/>
        </w:rPr>
        <w:t>效益指标：数据库运行稳定程度为稳定。</w:t>
      </w:r>
    </w:p>
    <w:p>
      <w:pPr>
        <w:widowControl/>
        <w:adjustRightInd w:val="0"/>
        <w:spacing w:line="560" w:lineRule="exact"/>
        <w:ind w:firstLine="643" w:firstLineChars="200"/>
        <w:rPr>
          <w:rFonts w:ascii="黑体" w:hAnsi="黑体" w:eastAsia="黑体" w:cs="黑体"/>
          <w:color w:val="auto"/>
          <w:kern w:val="0"/>
          <w:sz w:val="32"/>
          <w:szCs w:val="32"/>
        </w:rPr>
      </w:pPr>
      <w:r>
        <w:rPr>
          <w:rFonts w:hint="eastAsia" w:ascii="黑体" w:hAnsi="黑体" w:eastAsia="黑体" w:cs="Helvetica"/>
          <w:b/>
          <w:bCs/>
          <w:color w:val="auto"/>
          <w:kern w:val="0"/>
          <w:sz w:val="32"/>
          <w:szCs w:val="32"/>
        </w:rPr>
        <w:t>九、其他需要说明的情况</w:t>
      </w:r>
    </w:p>
    <w:p>
      <w:pPr>
        <w:widowControl/>
        <w:adjustRightInd w:val="0"/>
        <w:spacing w:line="560" w:lineRule="exact"/>
        <w:ind w:firstLine="640" w:firstLineChars="200"/>
        <w:rPr>
          <w:rFonts w:hint="eastAsia" w:ascii="仿宋_GB2312" w:eastAsia="仿宋_GB2312"/>
          <w:color w:val="auto"/>
          <w:sz w:val="32"/>
        </w:rPr>
      </w:pPr>
      <w:r>
        <w:rPr>
          <w:rFonts w:hint="eastAsia" w:ascii="仿宋_GB2312" w:eastAsia="仿宋_GB2312"/>
          <w:color w:val="auto"/>
          <w:sz w:val="32"/>
        </w:rPr>
        <w:t>1.对空表的说明：附表7一般公共预算“三公”经费支出表，本单位2023年无“三公”经费支出，此表为空表。附表8政府性基金预算支出表，本单位2023年无此类支出，此表为空表。</w:t>
      </w:r>
      <w:r>
        <w:rPr>
          <w:rFonts w:hint="eastAsia" w:ascii="仿宋_GB2312" w:eastAsia="仿宋_GB2312"/>
          <w:color w:val="auto"/>
          <w:sz w:val="32"/>
        </w:rPr>
        <w:br w:type="textWrapping"/>
      </w:r>
      <w:r>
        <w:rPr>
          <w:rFonts w:hint="eastAsia" w:ascii="仿宋_GB2312" w:eastAsia="仿宋_GB2312"/>
          <w:color w:val="auto"/>
          <w:sz w:val="32"/>
          <w:lang w:val="en-US" w:eastAsia="zh-CN"/>
        </w:rPr>
        <w:t xml:space="preserve">    </w:t>
      </w:r>
      <w:r>
        <w:rPr>
          <w:rFonts w:hint="eastAsia" w:ascii="仿宋_GB2312" w:eastAsia="仿宋_GB2312"/>
          <w:color w:val="auto"/>
          <w:sz w:val="32"/>
        </w:rPr>
        <w:t>2.其他情况的说明：本单位2023年无财政省本级专项支出、无一般性转移支付支出、无专项转移支付支出、无举借政府债务情况。</w:t>
      </w:r>
    </w:p>
    <w:p>
      <w:pPr>
        <w:widowControl/>
        <w:adjustRightInd w:val="0"/>
        <w:spacing w:line="560" w:lineRule="exact"/>
        <w:ind w:firstLine="643" w:firstLineChars="200"/>
        <w:rPr>
          <w:rFonts w:ascii="黑体" w:hAnsi="黑体" w:eastAsia="黑体" w:cs="黑体"/>
          <w:color w:val="auto"/>
          <w:kern w:val="0"/>
          <w:sz w:val="32"/>
          <w:szCs w:val="32"/>
        </w:rPr>
      </w:pPr>
      <w:r>
        <w:rPr>
          <w:rFonts w:hint="eastAsia" w:ascii="黑体" w:hAnsi="黑体" w:eastAsia="黑体" w:cs="Helvetica"/>
          <w:b/>
          <w:bCs/>
          <w:color w:val="auto"/>
          <w:kern w:val="0"/>
          <w:sz w:val="32"/>
          <w:szCs w:val="32"/>
        </w:rPr>
        <w:t>十</w:t>
      </w:r>
      <w:r>
        <w:rPr>
          <w:rFonts w:ascii="黑体" w:hAnsi="黑体" w:eastAsia="黑体" w:cs="Helvetica"/>
          <w:b/>
          <w:bCs/>
          <w:color w:val="auto"/>
          <w:kern w:val="0"/>
          <w:sz w:val="32"/>
          <w:szCs w:val="32"/>
        </w:rPr>
        <w:t>、</w:t>
      </w:r>
      <w:r>
        <w:rPr>
          <w:rFonts w:hint="eastAsia" w:ascii="黑体" w:hAnsi="黑体" w:eastAsia="黑体" w:cs="Helvetica"/>
          <w:b/>
          <w:bCs/>
          <w:color w:val="auto"/>
          <w:kern w:val="0"/>
          <w:sz w:val="32"/>
          <w:szCs w:val="32"/>
        </w:rPr>
        <w:t xml:space="preserve"> 名词解释</w:t>
      </w:r>
    </w:p>
    <w:p>
      <w:pPr>
        <w:widowControl/>
        <w:spacing w:line="520" w:lineRule="exact"/>
        <w:ind w:firstLine="660"/>
        <w:rPr>
          <w:rFonts w:ascii="仿宋" w:hAnsi="仿宋" w:eastAsia="仿宋" w:cs="仿宋"/>
          <w:b/>
          <w:bCs/>
          <w:color w:val="auto"/>
          <w:kern w:val="0"/>
          <w:sz w:val="32"/>
          <w:szCs w:val="32"/>
        </w:rPr>
      </w:pPr>
      <w:r>
        <w:rPr>
          <w:rFonts w:hint="eastAsia" w:ascii="仿宋_GB2312" w:hAnsi="仿宋_GB2312" w:eastAsia="仿宋_GB2312" w:cs="仿宋_GB2312"/>
          <w:b/>
          <w:bCs/>
          <w:color w:val="auto"/>
          <w:kern w:val="0"/>
          <w:sz w:val="32"/>
          <w:szCs w:val="32"/>
        </w:rPr>
        <w:t>1．机关运行经费：</w:t>
      </w:r>
      <w:r>
        <w:rPr>
          <w:rFonts w:hint="eastAsia" w:ascii="仿宋" w:hAnsi="仿宋" w:eastAsia="仿宋" w:cs="仿宋"/>
          <w:bCs/>
          <w:color w:val="auto"/>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2.“三公”经费：</w:t>
      </w:r>
      <w:r>
        <w:rPr>
          <w:rFonts w:hint="eastAsia" w:ascii="仿宋" w:hAnsi="仿宋" w:eastAsia="仿宋" w:cs="仿宋"/>
          <w:bCs/>
          <w:color w:val="auto"/>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w:t>
      </w:r>
      <w:bookmarkStart w:id="0" w:name="_GoBack"/>
      <w:bookmarkEnd w:id="0"/>
      <w:r>
        <w:rPr>
          <w:rFonts w:hint="eastAsia" w:ascii="仿宋" w:hAnsi="仿宋" w:eastAsia="仿宋" w:cs="仿宋"/>
          <w:bCs/>
          <w:color w:val="auto"/>
          <w:kern w:val="0"/>
          <w:sz w:val="32"/>
          <w:szCs w:val="32"/>
        </w:rPr>
        <w:t>维修费、过桥过路费、保险费、安全奖励费用等支出；公务接待费反映单位按规定开支的各类公务接待（含外宾接待）费用。</w:t>
      </w:r>
    </w:p>
    <w:p>
      <w:pPr>
        <w:widowControl/>
        <w:spacing w:line="560" w:lineRule="exact"/>
        <w:ind w:firstLine="643" w:firstLineChars="200"/>
        <w:rPr>
          <w:rFonts w:ascii="仿宋" w:hAnsi="仿宋" w:eastAsia="仿宋" w:cs="仿宋"/>
          <w:bCs/>
          <w:color w:val="auto"/>
          <w:kern w:val="0"/>
          <w:sz w:val="32"/>
          <w:szCs w:val="32"/>
        </w:rPr>
      </w:pPr>
      <w:r>
        <w:rPr>
          <w:rFonts w:hint="eastAsia" w:ascii="仿宋_GB2312" w:hAnsi="仿宋_GB2312" w:eastAsia="仿宋_GB2312" w:cs="仿宋_GB2312"/>
          <w:b/>
          <w:bCs/>
          <w:color w:val="auto"/>
          <w:kern w:val="0"/>
          <w:sz w:val="32"/>
          <w:szCs w:val="32"/>
        </w:rPr>
        <w:t>3．政府采购：</w:t>
      </w:r>
      <w:r>
        <w:rPr>
          <w:rFonts w:hint="eastAsia" w:ascii="仿宋" w:hAnsi="仿宋" w:eastAsia="仿宋" w:cs="仿宋"/>
          <w:bCs/>
          <w:color w:val="auto"/>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4．财政拨款（补助）收入：</w:t>
      </w:r>
      <w:r>
        <w:rPr>
          <w:rFonts w:hint="eastAsia" w:ascii="仿宋_GB2312" w:hAnsi="仿宋_GB2312" w:eastAsia="仿宋_GB2312" w:cs="仿宋_GB2312"/>
          <w:bCs/>
          <w:color w:val="auto"/>
          <w:kern w:val="0"/>
          <w:sz w:val="32"/>
          <w:szCs w:val="32"/>
        </w:rPr>
        <w:t>指从同级财政部门取得的财政预算资金。</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5．其他收入：</w:t>
      </w:r>
      <w:r>
        <w:rPr>
          <w:rFonts w:hint="eastAsia" w:ascii="仿宋_GB2312" w:hAnsi="仿宋_GB2312" w:eastAsia="仿宋_GB2312" w:cs="仿宋_GB2312"/>
          <w:bCs/>
          <w:color w:val="auto"/>
          <w:kern w:val="0"/>
          <w:sz w:val="32"/>
          <w:szCs w:val="32"/>
        </w:rPr>
        <w:t>指除上述“财政拨款收入”以外任务相应安排的资金。</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6．基本支出：</w:t>
      </w:r>
      <w:r>
        <w:rPr>
          <w:rFonts w:hint="eastAsia" w:ascii="仿宋_GB2312" w:hAnsi="仿宋_GB2312" w:eastAsia="仿宋_GB2312" w:cs="仿宋_GB2312"/>
          <w:bCs/>
          <w:color w:val="auto"/>
          <w:kern w:val="0"/>
          <w:sz w:val="32"/>
          <w:szCs w:val="32"/>
        </w:rPr>
        <w:t>指为保障机构正常运转、完成日常工作任务而发生的人员支出和公用支出。</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7．项目支出：</w:t>
      </w:r>
      <w:r>
        <w:rPr>
          <w:rFonts w:hint="eastAsia" w:ascii="仿宋_GB2312" w:hAnsi="仿宋_GB2312" w:eastAsia="仿宋_GB2312" w:cs="仿宋_GB2312"/>
          <w:bCs/>
          <w:color w:val="auto"/>
          <w:kern w:val="0"/>
          <w:sz w:val="32"/>
          <w:szCs w:val="32"/>
        </w:rPr>
        <w:t>指在基本支出之外为完成特定行政任务和事业发展目标所发生的支出。</w:t>
      </w:r>
    </w:p>
    <w:p>
      <w:pPr>
        <w:widowControl/>
        <w:spacing w:line="520" w:lineRule="exact"/>
        <w:rPr>
          <w:rFonts w:ascii="仿宋" w:hAnsi="仿宋" w:eastAsia="仿宋" w:cs="Helvetica"/>
          <w:bCs/>
          <w:color w:val="auto"/>
          <w:kern w:val="0"/>
          <w:sz w:val="32"/>
          <w:szCs w:val="32"/>
        </w:rPr>
      </w:pPr>
    </w:p>
    <w:p>
      <w:pPr>
        <w:adjustRightInd w:val="0"/>
        <w:spacing w:line="560" w:lineRule="exact"/>
        <w:ind w:firstLine="480" w:firstLineChars="200"/>
        <w:rPr>
          <w:rFonts w:ascii="宋体" w:hAnsi="宋体" w:eastAsia="宋体" w:cs="宋体"/>
          <w:bCs/>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Helvetica">
    <w:altName w:val="Arial"/>
    <w:panose1 w:val="020B05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DYwZmNhMTk0ZDA4ZjcxMmMyZTY5ZjE5ZjNkZDEifQ=="/>
  </w:docVars>
  <w:rsids>
    <w:rsidRoot w:val="0010135B"/>
    <w:rsid w:val="0010135B"/>
    <w:rsid w:val="003039D2"/>
    <w:rsid w:val="0030520C"/>
    <w:rsid w:val="003C2A64"/>
    <w:rsid w:val="00402363"/>
    <w:rsid w:val="00403266"/>
    <w:rsid w:val="00466AC6"/>
    <w:rsid w:val="004D0AB5"/>
    <w:rsid w:val="0057763A"/>
    <w:rsid w:val="007827A9"/>
    <w:rsid w:val="0080212D"/>
    <w:rsid w:val="008206F0"/>
    <w:rsid w:val="0096313A"/>
    <w:rsid w:val="00C20FA8"/>
    <w:rsid w:val="00DC5333"/>
    <w:rsid w:val="01101950"/>
    <w:rsid w:val="012706E7"/>
    <w:rsid w:val="01637293"/>
    <w:rsid w:val="01684DB4"/>
    <w:rsid w:val="019B474C"/>
    <w:rsid w:val="01F42D45"/>
    <w:rsid w:val="02062B27"/>
    <w:rsid w:val="020A48DB"/>
    <w:rsid w:val="029D2E63"/>
    <w:rsid w:val="02A61AE2"/>
    <w:rsid w:val="02AA5B00"/>
    <w:rsid w:val="03247659"/>
    <w:rsid w:val="038B1504"/>
    <w:rsid w:val="03C3786E"/>
    <w:rsid w:val="03CA377D"/>
    <w:rsid w:val="03F56CD5"/>
    <w:rsid w:val="04460CA7"/>
    <w:rsid w:val="046B5828"/>
    <w:rsid w:val="04B33B36"/>
    <w:rsid w:val="051554AC"/>
    <w:rsid w:val="0521514E"/>
    <w:rsid w:val="05853786"/>
    <w:rsid w:val="05BC3FC4"/>
    <w:rsid w:val="05EA4B8A"/>
    <w:rsid w:val="05FC247B"/>
    <w:rsid w:val="061D0ABC"/>
    <w:rsid w:val="0687062B"/>
    <w:rsid w:val="06A80874"/>
    <w:rsid w:val="07B70A9C"/>
    <w:rsid w:val="07C055E6"/>
    <w:rsid w:val="084A1910"/>
    <w:rsid w:val="084D31AF"/>
    <w:rsid w:val="08C57D9A"/>
    <w:rsid w:val="094B4190"/>
    <w:rsid w:val="095D32EB"/>
    <w:rsid w:val="09A3577C"/>
    <w:rsid w:val="09D516AE"/>
    <w:rsid w:val="09D74549"/>
    <w:rsid w:val="0A4129EF"/>
    <w:rsid w:val="0B712CE4"/>
    <w:rsid w:val="0BC419DA"/>
    <w:rsid w:val="0BCF57C4"/>
    <w:rsid w:val="0BD240F7"/>
    <w:rsid w:val="0C216E2C"/>
    <w:rsid w:val="0CE73CF4"/>
    <w:rsid w:val="0CEB1914"/>
    <w:rsid w:val="0D62602D"/>
    <w:rsid w:val="0DCD1019"/>
    <w:rsid w:val="0E0F33E0"/>
    <w:rsid w:val="0E18654F"/>
    <w:rsid w:val="0F2E3D3A"/>
    <w:rsid w:val="108D6B23"/>
    <w:rsid w:val="10B97633"/>
    <w:rsid w:val="10E13A1D"/>
    <w:rsid w:val="11272F1E"/>
    <w:rsid w:val="112A66B2"/>
    <w:rsid w:val="11700416"/>
    <w:rsid w:val="11B147AE"/>
    <w:rsid w:val="12767ED2"/>
    <w:rsid w:val="12FC32E0"/>
    <w:rsid w:val="13144A36"/>
    <w:rsid w:val="133F3459"/>
    <w:rsid w:val="13E42C19"/>
    <w:rsid w:val="13F56BD4"/>
    <w:rsid w:val="14643D5A"/>
    <w:rsid w:val="147321EF"/>
    <w:rsid w:val="149C1580"/>
    <w:rsid w:val="14E72FE0"/>
    <w:rsid w:val="1559160E"/>
    <w:rsid w:val="156B3B06"/>
    <w:rsid w:val="16B014D8"/>
    <w:rsid w:val="16C3120C"/>
    <w:rsid w:val="17511CCE"/>
    <w:rsid w:val="1755429B"/>
    <w:rsid w:val="181D5889"/>
    <w:rsid w:val="18302C73"/>
    <w:rsid w:val="19632832"/>
    <w:rsid w:val="19E219A9"/>
    <w:rsid w:val="1A072B5B"/>
    <w:rsid w:val="1A6A5363"/>
    <w:rsid w:val="1A6D5FE4"/>
    <w:rsid w:val="1B5B467E"/>
    <w:rsid w:val="1B5E59A7"/>
    <w:rsid w:val="1B697EA8"/>
    <w:rsid w:val="1B6D341D"/>
    <w:rsid w:val="1BD47FF4"/>
    <w:rsid w:val="1C34140F"/>
    <w:rsid w:val="1C550405"/>
    <w:rsid w:val="1C99656B"/>
    <w:rsid w:val="1CBB5C71"/>
    <w:rsid w:val="1D077978"/>
    <w:rsid w:val="1D274825"/>
    <w:rsid w:val="1DB82E08"/>
    <w:rsid w:val="1E1B44E3"/>
    <w:rsid w:val="1E2F53D8"/>
    <w:rsid w:val="1EAC5E50"/>
    <w:rsid w:val="1F686054"/>
    <w:rsid w:val="1FB45B75"/>
    <w:rsid w:val="21ED5BF4"/>
    <w:rsid w:val="2240445F"/>
    <w:rsid w:val="225E003A"/>
    <w:rsid w:val="22D32107"/>
    <w:rsid w:val="22E449E3"/>
    <w:rsid w:val="22F80CD4"/>
    <w:rsid w:val="236C6787"/>
    <w:rsid w:val="237A0EA4"/>
    <w:rsid w:val="23A8387B"/>
    <w:rsid w:val="23E46C65"/>
    <w:rsid w:val="23F073B8"/>
    <w:rsid w:val="2406098A"/>
    <w:rsid w:val="25665A79"/>
    <w:rsid w:val="25A42208"/>
    <w:rsid w:val="25BA1A2C"/>
    <w:rsid w:val="263F794A"/>
    <w:rsid w:val="26A13ED2"/>
    <w:rsid w:val="26D20279"/>
    <w:rsid w:val="273A1DBE"/>
    <w:rsid w:val="27B32BD6"/>
    <w:rsid w:val="27C25EEE"/>
    <w:rsid w:val="27DC6577"/>
    <w:rsid w:val="28137B19"/>
    <w:rsid w:val="285919D0"/>
    <w:rsid w:val="28604D4E"/>
    <w:rsid w:val="286D0FD7"/>
    <w:rsid w:val="29087613"/>
    <w:rsid w:val="294F16CB"/>
    <w:rsid w:val="2973770E"/>
    <w:rsid w:val="29742B69"/>
    <w:rsid w:val="29C37623"/>
    <w:rsid w:val="2AE61FB3"/>
    <w:rsid w:val="2B312790"/>
    <w:rsid w:val="2B550156"/>
    <w:rsid w:val="2B8054C5"/>
    <w:rsid w:val="2BEB2E89"/>
    <w:rsid w:val="2C381D4A"/>
    <w:rsid w:val="2CA04C1D"/>
    <w:rsid w:val="2CAB6572"/>
    <w:rsid w:val="2D0D4CD0"/>
    <w:rsid w:val="2D677C2D"/>
    <w:rsid w:val="2DA864C6"/>
    <w:rsid w:val="2DEB26E8"/>
    <w:rsid w:val="2E2C5491"/>
    <w:rsid w:val="2E861724"/>
    <w:rsid w:val="2EAD05A4"/>
    <w:rsid w:val="2EB536D8"/>
    <w:rsid w:val="2EBB759B"/>
    <w:rsid w:val="2ECC4007"/>
    <w:rsid w:val="2EE45757"/>
    <w:rsid w:val="2EF17B53"/>
    <w:rsid w:val="2F0D52C2"/>
    <w:rsid w:val="2F2B74CC"/>
    <w:rsid w:val="2F3C1703"/>
    <w:rsid w:val="2FA015DA"/>
    <w:rsid w:val="305D5DD5"/>
    <w:rsid w:val="30A56294"/>
    <w:rsid w:val="30BA6D84"/>
    <w:rsid w:val="30C23E8A"/>
    <w:rsid w:val="313A1C7B"/>
    <w:rsid w:val="31A55C86"/>
    <w:rsid w:val="31F03766"/>
    <w:rsid w:val="32140715"/>
    <w:rsid w:val="325D3E6B"/>
    <w:rsid w:val="329B5C71"/>
    <w:rsid w:val="334E7C57"/>
    <w:rsid w:val="33F16F60"/>
    <w:rsid w:val="34022441"/>
    <w:rsid w:val="342E1C31"/>
    <w:rsid w:val="34BE0E27"/>
    <w:rsid w:val="34C35ACD"/>
    <w:rsid w:val="34E519B1"/>
    <w:rsid w:val="35391E32"/>
    <w:rsid w:val="35AF735F"/>
    <w:rsid w:val="35C04389"/>
    <w:rsid w:val="363E49B9"/>
    <w:rsid w:val="36AF6C5F"/>
    <w:rsid w:val="36BA1FE3"/>
    <w:rsid w:val="373B04F2"/>
    <w:rsid w:val="37B73E2E"/>
    <w:rsid w:val="38AD5420"/>
    <w:rsid w:val="38C31392"/>
    <w:rsid w:val="393A4F06"/>
    <w:rsid w:val="39691347"/>
    <w:rsid w:val="3995038E"/>
    <w:rsid w:val="3A79008A"/>
    <w:rsid w:val="3AE610FC"/>
    <w:rsid w:val="3AF70BD4"/>
    <w:rsid w:val="3B1A3241"/>
    <w:rsid w:val="3BB00C1C"/>
    <w:rsid w:val="3BB16AFD"/>
    <w:rsid w:val="3C524AA1"/>
    <w:rsid w:val="3C8B2B20"/>
    <w:rsid w:val="3DCC00F6"/>
    <w:rsid w:val="3DD07BE6"/>
    <w:rsid w:val="3DF8713D"/>
    <w:rsid w:val="3F0720AC"/>
    <w:rsid w:val="3F2D5977"/>
    <w:rsid w:val="3FC072F1"/>
    <w:rsid w:val="40520D87"/>
    <w:rsid w:val="405F2A8A"/>
    <w:rsid w:val="410302D3"/>
    <w:rsid w:val="41377F7D"/>
    <w:rsid w:val="414E085D"/>
    <w:rsid w:val="41807B75"/>
    <w:rsid w:val="42335DC7"/>
    <w:rsid w:val="429733C9"/>
    <w:rsid w:val="42B262B4"/>
    <w:rsid w:val="42E340AA"/>
    <w:rsid w:val="42E83C24"/>
    <w:rsid w:val="43E53CC0"/>
    <w:rsid w:val="441B5933"/>
    <w:rsid w:val="44587BC9"/>
    <w:rsid w:val="44AB4F09"/>
    <w:rsid w:val="44B738AE"/>
    <w:rsid w:val="453A628D"/>
    <w:rsid w:val="45E42C1A"/>
    <w:rsid w:val="46132D66"/>
    <w:rsid w:val="46822BBE"/>
    <w:rsid w:val="46E57F54"/>
    <w:rsid w:val="471B25DC"/>
    <w:rsid w:val="47947ED7"/>
    <w:rsid w:val="47AF7B71"/>
    <w:rsid w:val="48185670"/>
    <w:rsid w:val="484F3BA3"/>
    <w:rsid w:val="48816B9E"/>
    <w:rsid w:val="48B84099"/>
    <w:rsid w:val="49332A6D"/>
    <w:rsid w:val="496E6D09"/>
    <w:rsid w:val="498875C7"/>
    <w:rsid w:val="49EE35C1"/>
    <w:rsid w:val="4A195DA7"/>
    <w:rsid w:val="4A57500D"/>
    <w:rsid w:val="4BD27220"/>
    <w:rsid w:val="4CC32F36"/>
    <w:rsid w:val="4D432C65"/>
    <w:rsid w:val="4DA647F1"/>
    <w:rsid w:val="4DAF7F54"/>
    <w:rsid w:val="4DE75480"/>
    <w:rsid w:val="4E1E61A6"/>
    <w:rsid w:val="4EE327F2"/>
    <w:rsid w:val="4F3D6B53"/>
    <w:rsid w:val="505C47F2"/>
    <w:rsid w:val="50C6336A"/>
    <w:rsid w:val="50C82006"/>
    <w:rsid w:val="513D513B"/>
    <w:rsid w:val="52212F33"/>
    <w:rsid w:val="522B1438"/>
    <w:rsid w:val="5312649D"/>
    <w:rsid w:val="538114EC"/>
    <w:rsid w:val="53966D85"/>
    <w:rsid w:val="53B67427"/>
    <w:rsid w:val="53D656CB"/>
    <w:rsid w:val="54F91E80"/>
    <w:rsid w:val="55C46B6E"/>
    <w:rsid w:val="55DE7B1E"/>
    <w:rsid w:val="56041E25"/>
    <w:rsid w:val="5680041D"/>
    <w:rsid w:val="568E2C04"/>
    <w:rsid w:val="56B6049A"/>
    <w:rsid w:val="56B76A2B"/>
    <w:rsid w:val="56DE2F1C"/>
    <w:rsid w:val="56E10C5F"/>
    <w:rsid w:val="57575A05"/>
    <w:rsid w:val="57E502DB"/>
    <w:rsid w:val="58382BE3"/>
    <w:rsid w:val="587C5DB3"/>
    <w:rsid w:val="58DC348C"/>
    <w:rsid w:val="58DE1B32"/>
    <w:rsid w:val="5915699E"/>
    <w:rsid w:val="591C7D2C"/>
    <w:rsid w:val="594B0611"/>
    <w:rsid w:val="59B9557B"/>
    <w:rsid w:val="5A1934E5"/>
    <w:rsid w:val="5A20543B"/>
    <w:rsid w:val="5A9B69B9"/>
    <w:rsid w:val="5B3255E5"/>
    <w:rsid w:val="5B700753"/>
    <w:rsid w:val="5C60529C"/>
    <w:rsid w:val="5C741C2D"/>
    <w:rsid w:val="5CB70498"/>
    <w:rsid w:val="5CD60EB2"/>
    <w:rsid w:val="5D823597"/>
    <w:rsid w:val="5DE057CC"/>
    <w:rsid w:val="5E1B3D5C"/>
    <w:rsid w:val="5F065160"/>
    <w:rsid w:val="5F3833E6"/>
    <w:rsid w:val="5F4D5334"/>
    <w:rsid w:val="5FA171DD"/>
    <w:rsid w:val="5FE33352"/>
    <w:rsid w:val="600867EC"/>
    <w:rsid w:val="60253A6B"/>
    <w:rsid w:val="6031230F"/>
    <w:rsid w:val="60566219"/>
    <w:rsid w:val="61422745"/>
    <w:rsid w:val="61E17D65"/>
    <w:rsid w:val="62113D2F"/>
    <w:rsid w:val="622200F7"/>
    <w:rsid w:val="622B4D80"/>
    <w:rsid w:val="623B3772"/>
    <w:rsid w:val="64357EF4"/>
    <w:rsid w:val="64986C27"/>
    <w:rsid w:val="64DA66AB"/>
    <w:rsid w:val="65CC7A0B"/>
    <w:rsid w:val="65D3619D"/>
    <w:rsid w:val="67246F0A"/>
    <w:rsid w:val="6740552D"/>
    <w:rsid w:val="678673E4"/>
    <w:rsid w:val="67CA4DF7"/>
    <w:rsid w:val="692C7EE9"/>
    <w:rsid w:val="692D4BDE"/>
    <w:rsid w:val="693772C2"/>
    <w:rsid w:val="699A747D"/>
    <w:rsid w:val="69F0781D"/>
    <w:rsid w:val="6A456E05"/>
    <w:rsid w:val="6A475399"/>
    <w:rsid w:val="6A491A6F"/>
    <w:rsid w:val="6A760EF5"/>
    <w:rsid w:val="6A917477"/>
    <w:rsid w:val="6B755FF2"/>
    <w:rsid w:val="6BF608B1"/>
    <w:rsid w:val="6CA44986"/>
    <w:rsid w:val="6CD75560"/>
    <w:rsid w:val="6CF22E26"/>
    <w:rsid w:val="6D8C327A"/>
    <w:rsid w:val="6DB0362D"/>
    <w:rsid w:val="6DBB76BC"/>
    <w:rsid w:val="6E404ED1"/>
    <w:rsid w:val="6E9C4DDE"/>
    <w:rsid w:val="6ECB2C67"/>
    <w:rsid w:val="6F09162C"/>
    <w:rsid w:val="6F5B73A8"/>
    <w:rsid w:val="6F5E29F5"/>
    <w:rsid w:val="6F7E1F5F"/>
    <w:rsid w:val="6FA7614A"/>
    <w:rsid w:val="704020FA"/>
    <w:rsid w:val="70A1528F"/>
    <w:rsid w:val="70BA1EAD"/>
    <w:rsid w:val="70CB476E"/>
    <w:rsid w:val="71A50310"/>
    <w:rsid w:val="7258197D"/>
    <w:rsid w:val="735065A0"/>
    <w:rsid w:val="73577E87"/>
    <w:rsid w:val="735A0751"/>
    <w:rsid w:val="73645911"/>
    <w:rsid w:val="73A47E3F"/>
    <w:rsid w:val="73CE57CC"/>
    <w:rsid w:val="73D56A03"/>
    <w:rsid w:val="742064CB"/>
    <w:rsid w:val="748C7CA7"/>
    <w:rsid w:val="757010EB"/>
    <w:rsid w:val="75A350D1"/>
    <w:rsid w:val="762C55FB"/>
    <w:rsid w:val="76650B0D"/>
    <w:rsid w:val="76A07D97"/>
    <w:rsid w:val="76AE24B4"/>
    <w:rsid w:val="76B75310"/>
    <w:rsid w:val="76D24AEA"/>
    <w:rsid w:val="76EE28B0"/>
    <w:rsid w:val="77274014"/>
    <w:rsid w:val="776940AB"/>
    <w:rsid w:val="77695F38"/>
    <w:rsid w:val="77E01C1E"/>
    <w:rsid w:val="780E7649"/>
    <w:rsid w:val="78561091"/>
    <w:rsid w:val="789C09DE"/>
    <w:rsid w:val="78C53AE4"/>
    <w:rsid w:val="78D37FAF"/>
    <w:rsid w:val="793A6280"/>
    <w:rsid w:val="799A75CB"/>
    <w:rsid w:val="7A4F035D"/>
    <w:rsid w:val="7A8D23E0"/>
    <w:rsid w:val="7B696F09"/>
    <w:rsid w:val="7BA84E61"/>
    <w:rsid w:val="7C3B0C1A"/>
    <w:rsid w:val="7C490589"/>
    <w:rsid w:val="7C865339"/>
    <w:rsid w:val="7CCD11BA"/>
    <w:rsid w:val="7D3B05D1"/>
    <w:rsid w:val="7DDB2618"/>
    <w:rsid w:val="7E01354D"/>
    <w:rsid w:val="7E1352F2"/>
    <w:rsid w:val="7E4471C1"/>
    <w:rsid w:val="7E474C98"/>
    <w:rsid w:val="7F0A3FFF"/>
    <w:rsid w:val="7FCB7C32"/>
    <w:rsid w:val="7FDE15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国家统计局</Company>
  <Pages>6</Pages>
  <Words>2420</Words>
  <Characters>2569</Characters>
  <Lines>18</Lines>
  <Paragraphs>5</Paragraphs>
  <TotalTime>1</TotalTime>
  <ScaleCrop>false</ScaleCrop>
  <LinksUpToDate>false</LinksUpToDate>
  <CharactersWithSpaces>2609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2021-03-05T00:56:00Z</dcterms:created>
  <dc:creator>曹群豪(拟稿)</dc:creator>
  <cp:lastModifiedBy>ldz03</cp:lastModifiedBy>
  <cp:lastPrinted>2022-02-23T00:58:00Z</cp:lastPrinted>
  <dcterms:modified xsi:type="dcterms:W3CDTF">2023-02-21T01:48:32Z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6CCDE95AE7FC4B14BCE31B38F8E3C20D</vt:lpwstr>
  </property>
</Properties>
</file>