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inherit" w:hAnsi="inherit" w:eastAsia="微软雅黑" w:cs="Helvetica"/>
          <w:color w:val="auto"/>
          <w:kern w:val="0"/>
          <w:sz w:val="45"/>
          <w:szCs w:val="45"/>
        </w:rPr>
      </w:pPr>
    </w:p>
    <w:p>
      <w:pPr>
        <w:widowControl/>
        <w:outlineLvl w:val="1"/>
        <w:rPr>
          <w:rFonts w:hint="eastAsia" w:ascii="inherit" w:hAnsi="inherit" w:eastAsia="微软雅黑" w:cs="Helvetica"/>
          <w:color w:val="auto"/>
          <w:kern w:val="0"/>
          <w:sz w:val="45"/>
          <w:szCs w:val="45"/>
        </w:rPr>
      </w:pPr>
    </w:p>
    <w:p>
      <w:pPr>
        <w:widowControl/>
        <w:spacing w:line="560" w:lineRule="exact"/>
        <w:jc w:val="center"/>
        <w:outlineLvl w:val="1"/>
        <w:rPr>
          <w:rFonts w:ascii="黑体" w:hAnsi="黑体" w:eastAsia="黑体" w:cs="Helvetica"/>
          <w:color w:val="auto"/>
          <w:kern w:val="0"/>
          <w:sz w:val="44"/>
          <w:szCs w:val="44"/>
        </w:rPr>
      </w:pPr>
      <w:r>
        <w:rPr>
          <w:rFonts w:hint="eastAsia" w:ascii="黑体" w:hAnsi="黑体" w:eastAsia="黑体" w:cs="Helvetica"/>
          <w:color w:val="auto"/>
          <w:kern w:val="0"/>
          <w:sz w:val="44"/>
          <w:szCs w:val="44"/>
        </w:rPr>
        <w:t>湖北</w:t>
      </w:r>
      <w:r>
        <w:rPr>
          <w:rFonts w:ascii="黑体" w:hAnsi="黑体" w:eastAsia="黑体" w:cs="Helvetica"/>
          <w:color w:val="auto"/>
          <w:kern w:val="0"/>
          <w:sz w:val="44"/>
          <w:szCs w:val="44"/>
        </w:rPr>
        <w:t>省统计局</w:t>
      </w:r>
      <w:r>
        <w:rPr>
          <w:rFonts w:hint="eastAsia" w:ascii="黑体" w:hAnsi="黑体" w:eastAsia="黑体" w:cs="Helvetica"/>
          <w:color w:val="auto"/>
          <w:kern w:val="0"/>
          <w:sz w:val="44"/>
          <w:szCs w:val="44"/>
        </w:rPr>
        <w:t>老河口经济社会调查队2023</w:t>
      </w:r>
    </w:p>
    <w:p>
      <w:pPr>
        <w:widowControl/>
        <w:spacing w:line="560" w:lineRule="exact"/>
        <w:jc w:val="center"/>
        <w:outlineLvl w:val="1"/>
        <w:rPr>
          <w:rFonts w:ascii="黑体" w:hAnsi="黑体" w:eastAsia="黑体" w:cs="Helvetica"/>
          <w:color w:val="auto"/>
          <w:kern w:val="0"/>
          <w:sz w:val="44"/>
          <w:szCs w:val="44"/>
        </w:rPr>
      </w:pPr>
      <w:r>
        <w:rPr>
          <w:rFonts w:hint="eastAsia" w:ascii="黑体" w:hAnsi="黑体" w:eastAsia="黑体" w:cs="Helvetica"/>
          <w:color w:val="auto"/>
          <w:kern w:val="0"/>
          <w:sz w:val="44"/>
          <w:szCs w:val="44"/>
        </w:rPr>
        <w:t>年单位预算公开情况</w:t>
      </w:r>
      <w:r>
        <w:rPr>
          <w:rFonts w:ascii="黑体" w:hAnsi="黑体" w:eastAsia="黑体" w:cs="Helvetica"/>
          <w:color w:val="auto"/>
          <w:kern w:val="0"/>
          <w:sz w:val="44"/>
          <w:szCs w:val="44"/>
        </w:rPr>
        <w:t>说明</w:t>
      </w:r>
    </w:p>
    <w:p>
      <w:pPr>
        <w:widowControl/>
        <w:rPr>
          <w:rFonts w:ascii="宋体" w:hAnsi="宋体" w:cs="Helvetica"/>
          <w:color w:val="auto"/>
          <w:kern w:val="0"/>
          <w:sz w:val="24"/>
          <w:szCs w:val="24"/>
        </w:rPr>
      </w:pPr>
      <w:r>
        <w:rPr>
          <w:rFonts w:hint="eastAsia" w:ascii="微软雅黑" w:hAnsi="微软雅黑" w:eastAsia="微软雅黑" w:cs="Helvetica"/>
          <w:color w:val="auto"/>
          <w:kern w:val="0"/>
          <w:szCs w:val="21"/>
        </w:rPr>
        <w:t xml:space="preserve">　　                         </w:t>
      </w:r>
      <w:r>
        <w:rPr>
          <w:rFonts w:hint="eastAsia" w:ascii="宋体" w:hAnsi="宋体" w:cs="Helvetica"/>
          <w:color w:val="auto"/>
          <w:kern w:val="0"/>
          <w:sz w:val="24"/>
          <w:szCs w:val="24"/>
        </w:rPr>
        <w:t xml:space="preserve"> </w:t>
      </w:r>
      <w:r>
        <w:rPr>
          <w:rFonts w:ascii="宋体" w:hAnsi="宋体" w:cs="Helvetica"/>
          <w:color w:val="auto"/>
          <w:kern w:val="0"/>
          <w:sz w:val="24"/>
          <w:szCs w:val="24"/>
        </w:rPr>
        <w:t xml:space="preserve">   </w:t>
      </w:r>
      <w:r>
        <w:rPr>
          <w:rFonts w:hint="eastAsia" w:ascii="宋体" w:hAnsi="宋体" w:cs="Helvetica"/>
          <w:color w:val="auto"/>
          <w:kern w:val="0"/>
          <w:sz w:val="24"/>
          <w:szCs w:val="24"/>
        </w:rPr>
        <w:t xml:space="preserve"> </w:t>
      </w:r>
    </w:p>
    <w:p>
      <w:pPr>
        <w:widowControl/>
        <w:spacing w:line="480" w:lineRule="exact"/>
        <w:jc w:val="left"/>
        <w:rPr>
          <w:rFonts w:ascii="宋体" w:hAnsi="宋体" w:cs="Helvetica"/>
          <w:color w:val="auto"/>
          <w:kern w:val="0"/>
          <w:sz w:val="24"/>
          <w:szCs w:val="24"/>
        </w:rPr>
      </w:pP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一</w:t>
      </w:r>
      <w:r>
        <w:rPr>
          <w:rFonts w:ascii="仿宋" w:hAnsi="仿宋" w:eastAsia="仿宋" w:cs="Helvetica"/>
          <w:b/>
          <w:color w:val="auto"/>
          <w:kern w:val="0"/>
          <w:sz w:val="32"/>
          <w:szCs w:val="32"/>
        </w:rPr>
        <w:t>、</w:t>
      </w:r>
      <w:r>
        <w:rPr>
          <w:rFonts w:hint="eastAsia" w:ascii="仿宋" w:hAnsi="仿宋" w:eastAsia="仿宋" w:cs="Helvetica"/>
          <w:b/>
          <w:color w:val="auto"/>
          <w:kern w:val="0"/>
          <w:sz w:val="32"/>
          <w:szCs w:val="32"/>
        </w:rPr>
        <w:t>单位主要职责</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二、机构设置情况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三、预算收支及增减变化情况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四、机关运行经费情况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五、一般公共预算“三公”经费及增减变化情况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六</w:t>
      </w:r>
      <w:r>
        <w:rPr>
          <w:rFonts w:ascii="仿宋" w:hAnsi="仿宋" w:eastAsia="仿宋" w:cs="Helvetica"/>
          <w:b/>
          <w:color w:val="auto"/>
          <w:kern w:val="0"/>
          <w:sz w:val="32"/>
          <w:szCs w:val="32"/>
        </w:rPr>
        <w:t>、</w:t>
      </w:r>
      <w:r>
        <w:rPr>
          <w:rFonts w:hint="eastAsia" w:ascii="仿宋" w:hAnsi="仿宋" w:eastAsia="仿宋" w:cs="Helvetica"/>
          <w:b/>
          <w:color w:val="auto"/>
          <w:kern w:val="0"/>
          <w:sz w:val="32"/>
          <w:szCs w:val="32"/>
        </w:rPr>
        <w:t>政府采购预算安排情况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七、国有资产占用情况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八、重点项目预算绩效情况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九、其他需要说明的情况</w:t>
      </w:r>
    </w:p>
    <w:p>
      <w:pPr>
        <w:widowControl/>
        <w:spacing w:line="480" w:lineRule="auto"/>
        <w:ind w:firstLine="643" w:firstLineChars="200"/>
        <w:jc w:val="left"/>
        <w:rPr>
          <w:rFonts w:ascii="仿宋" w:hAnsi="仿宋" w:eastAsia="仿宋" w:cs="Helvetica"/>
          <w:b/>
          <w:color w:val="auto"/>
          <w:kern w:val="0"/>
          <w:sz w:val="32"/>
          <w:szCs w:val="32"/>
        </w:rPr>
      </w:pPr>
      <w:r>
        <w:rPr>
          <w:rFonts w:hint="eastAsia" w:ascii="仿宋" w:hAnsi="仿宋" w:eastAsia="仿宋" w:cs="Helvetica"/>
          <w:b/>
          <w:color w:val="auto"/>
          <w:kern w:val="0"/>
          <w:sz w:val="32"/>
          <w:szCs w:val="32"/>
        </w:rPr>
        <w:t>十</w:t>
      </w:r>
      <w:r>
        <w:rPr>
          <w:rFonts w:ascii="仿宋" w:hAnsi="仿宋" w:eastAsia="仿宋" w:cs="Helvetica"/>
          <w:b/>
          <w:color w:val="auto"/>
          <w:kern w:val="0"/>
          <w:sz w:val="32"/>
          <w:szCs w:val="32"/>
        </w:rPr>
        <w:t>、</w:t>
      </w:r>
      <w:r>
        <w:rPr>
          <w:rFonts w:hint="eastAsia" w:ascii="仿宋" w:hAnsi="仿宋" w:eastAsia="仿宋" w:cs="Helvetica"/>
          <w:b/>
          <w:bCs/>
          <w:color w:val="auto"/>
          <w:kern w:val="0"/>
          <w:sz w:val="32"/>
          <w:szCs w:val="32"/>
        </w:rPr>
        <w:t>专业</w:t>
      </w:r>
      <w:r>
        <w:rPr>
          <w:rFonts w:hint="eastAsia" w:ascii="仿宋" w:hAnsi="仿宋" w:eastAsia="仿宋" w:cs="Helvetica"/>
          <w:b/>
          <w:color w:val="auto"/>
          <w:kern w:val="0"/>
          <w:sz w:val="32"/>
          <w:szCs w:val="32"/>
        </w:rPr>
        <w:t>名词解释</w:t>
      </w:r>
    </w:p>
    <w:p>
      <w:pPr>
        <w:widowControl/>
        <w:spacing w:line="500" w:lineRule="exact"/>
        <w:rPr>
          <w:rFonts w:ascii="宋体" w:hAnsi="宋体" w:cs="Helvetica"/>
          <w:b/>
          <w:color w:val="auto"/>
          <w:kern w:val="0"/>
          <w:sz w:val="24"/>
          <w:szCs w:val="24"/>
        </w:rPr>
      </w:pPr>
      <w:r>
        <w:rPr>
          <w:rFonts w:hint="eastAsia" w:ascii="宋体" w:hAnsi="宋体" w:cs="Helvetica"/>
          <w:b/>
          <w:color w:val="auto"/>
          <w:kern w:val="0"/>
          <w:sz w:val="24"/>
          <w:szCs w:val="24"/>
        </w:rPr>
        <w:t>　　</w:t>
      </w:r>
    </w:p>
    <w:p>
      <w:pPr>
        <w:widowControl/>
        <w:spacing w:line="520" w:lineRule="exact"/>
        <w:ind w:firstLine="361" w:firstLineChars="150"/>
        <w:rPr>
          <w:rFonts w:ascii="宋体" w:hAnsi="宋体" w:cs="Helvetica"/>
          <w:b/>
          <w:color w:val="auto"/>
          <w:kern w:val="0"/>
          <w:sz w:val="24"/>
          <w:szCs w:val="24"/>
        </w:rPr>
      </w:pPr>
      <w:r>
        <w:rPr>
          <w:rFonts w:hint="eastAsia" w:ascii="宋体" w:hAnsi="宋体" w:cs="Helvetica"/>
          <w:b/>
          <w:color w:val="auto"/>
          <w:kern w:val="0"/>
          <w:sz w:val="24"/>
          <w:szCs w:val="24"/>
        </w:rPr>
        <w:t xml:space="preserve"> </w:t>
      </w:r>
    </w:p>
    <w:p>
      <w:pPr>
        <w:widowControl/>
        <w:spacing w:line="520" w:lineRule="exact"/>
        <w:ind w:firstLine="361" w:firstLineChars="150"/>
        <w:rPr>
          <w:rFonts w:ascii="宋体" w:hAnsi="宋体" w:cs="Helvetica"/>
          <w:b/>
          <w:color w:val="auto"/>
          <w:kern w:val="0"/>
          <w:sz w:val="24"/>
          <w:szCs w:val="24"/>
        </w:rPr>
      </w:pPr>
    </w:p>
    <w:p>
      <w:pPr>
        <w:widowControl/>
        <w:spacing w:line="520" w:lineRule="exact"/>
        <w:ind w:firstLine="361" w:firstLineChars="150"/>
        <w:rPr>
          <w:rFonts w:ascii="宋体" w:hAnsi="宋体" w:cs="Helvetica"/>
          <w:b/>
          <w:color w:val="auto"/>
          <w:kern w:val="0"/>
          <w:sz w:val="24"/>
          <w:szCs w:val="24"/>
        </w:rPr>
      </w:pPr>
    </w:p>
    <w:p>
      <w:pPr>
        <w:widowControl/>
        <w:spacing w:line="520" w:lineRule="exact"/>
        <w:ind w:firstLine="361" w:firstLineChars="150"/>
        <w:rPr>
          <w:rFonts w:ascii="宋体" w:hAnsi="宋体" w:cs="Helvetica"/>
          <w:b/>
          <w:color w:val="auto"/>
          <w:kern w:val="0"/>
          <w:sz w:val="24"/>
          <w:szCs w:val="24"/>
        </w:rPr>
      </w:pPr>
    </w:p>
    <w:p>
      <w:pPr>
        <w:widowControl/>
        <w:spacing w:line="520" w:lineRule="exact"/>
        <w:ind w:firstLine="361" w:firstLineChars="150"/>
        <w:rPr>
          <w:rFonts w:hint="eastAsia" w:ascii="宋体" w:hAnsi="宋体" w:cs="Helvetica"/>
          <w:b/>
          <w:color w:val="auto"/>
          <w:kern w:val="0"/>
          <w:sz w:val="24"/>
          <w:szCs w:val="24"/>
        </w:rPr>
      </w:pPr>
    </w:p>
    <w:p>
      <w:pPr>
        <w:widowControl/>
        <w:spacing w:line="520" w:lineRule="exact"/>
        <w:ind w:firstLine="361" w:firstLineChars="150"/>
        <w:rPr>
          <w:rFonts w:ascii="宋体" w:hAnsi="宋体" w:cs="Helvetica"/>
          <w:b/>
          <w:color w:val="auto"/>
          <w:kern w:val="0"/>
          <w:sz w:val="24"/>
          <w:szCs w:val="24"/>
        </w:rPr>
      </w:pPr>
    </w:p>
    <w:p>
      <w:pPr>
        <w:widowControl/>
        <w:spacing w:line="520" w:lineRule="exact"/>
        <w:ind w:firstLine="361" w:firstLineChars="150"/>
        <w:rPr>
          <w:rFonts w:ascii="宋体" w:hAnsi="宋体" w:cs="Helvetica"/>
          <w:b/>
          <w:color w:val="auto"/>
          <w:kern w:val="0"/>
          <w:sz w:val="24"/>
          <w:szCs w:val="24"/>
        </w:rPr>
      </w:pPr>
    </w:p>
    <w:p>
      <w:pPr>
        <w:widowControl/>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一、单位主要职责</w:t>
      </w:r>
    </w:p>
    <w:p>
      <w:pPr>
        <w:adjustRightInd w:val="0"/>
        <w:spacing w:line="560" w:lineRule="exact"/>
        <w:ind w:firstLine="640" w:firstLineChars="200"/>
        <w:rPr>
          <w:rFonts w:ascii="仿宋_GB2312" w:hAnsi="黑体" w:eastAsia="仿宋_GB2312" w:cs="黑体"/>
          <w:color w:val="auto"/>
          <w:kern w:val="0"/>
          <w:sz w:val="32"/>
          <w:szCs w:val="32"/>
        </w:rPr>
      </w:pPr>
      <w:r>
        <w:rPr>
          <w:rFonts w:hint="eastAsia" w:ascii="仿宋_GB2312" w:hAnsi="仿宋_GB2312" w:eastAsia="仿宋_GB2312" w:cs="仿宋_GB2312"/>
          <w:color w:val="auto"/>
          <w:sz w:val="32"/>
          <w:szCs w:val="32"/>
        </w:rPr>
        <w:t>负责统计数据质量监测和核查；组织实施本地区统计调查和监测工作；参与统计执法相关工作；参与国情国力调查等重大统计工作；协助地方统计局开展相关工作；</w:t>
      </w:r>
      <w:r>
        <w:rPr>
          <w:rFonts w:hint="eastAsia" w:ascii="仿宋_GB2312" w:hAnsi="黑体" w:eastAsia="仿宋_GB2312" w:cs="黑体"/>
          <w:color w:val="auto"/>
          <w:kern w:val="0"/>
          <w:sz w:val="32"/>
          <w:szCs w:val="32"/>
        </w:rPr>
        <w:t>完成省统计局、省统计局调查监测中心和省统计局襄阳调查监测分局交办的其他工作。</w:t>
      </w:r>
    </w:p>
    <w:p>
      <w:pPr>
        <w:widowControl/>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二、机构设置情况</w:t>
      </w:r>
    </w:p>
    <w:p>
      <w:pPr>
        <w:widowControl/>
        <w:spacing w:line="480" w:lineRule="exact"/>
        <w:ind w:firstLine="640" w:firstLineChars="200"/>
        <w:jc w:val="left"/>
        <w:rPr>
          <w:rFonts w:ascii="仿宋" w:hAnsi="仿宋" w:eastAsia="仿宋" w:cs="Helvetica"/>
          <w:color w:val="auto"/>
          <w:kern w:val="0"/>
          <w:sz w:val="32"/>
          <w:szCs w:val="32"/>
        </w:rPr>
      </w:pPr>
      <w:r>
        <w:rPr>
          <w:rFonts w:hint="eastAsia" w:ascii="仿宋" w:hAnsi="仿宋" w:eastAsia="仿宋" w:cs="Helvetica"/>
          <w:color w:val="auto"/>
          <w:kern w:val="0"/>
          <w:sz w:val="32"/>
          <w:szCs w:val="32"/>
        </w:rPr>
        <w:t>我单位设2个内设机构：调查监测一科、调查监测二科。</w:t>
      </w:r>
    </w:p>
    <w:p>
      <w:pPr>
        <w:widowControl/>
        <w:spacing w:line="480" w:lineRule="exact"/>
        <w:ind w:firstLine="643" w:firstLineChars="200"/>
        <w:jc w:val="left"/>
        <w:rPr>
          <w:rFonts w:ascii="仿宋" w:hAnsi="仿宋" w:eastAsia="仿宋" w:cs="Helvetica"/>
          <w:color w:val="auto"/>
          <w:kern w:val="0"/>
          <w:sz w:val="32"/>
          <w:szCs w:val="32"/>
        </w:rPr>
      </w:pPr>
      <w:r>
        <w:rPr>
          <w:rFonts w:hint="eastAsia" w:ascii="楷体" w:hAnsi="楷体" w:eastAsia="楷体" w:cs="Helvetica"/>
          <w:b/>
          <w:bCs/>
          <w:color w:val="auto"/>
          <w:kern w:val="0"/>
          <w:sz w:val="32"/>
          <w:szCs w:val="32"/>
        </w:rPr>
        <w:t>（一）调查监测一科的主要职责是:</w:t>
      </w:r>
      <w:r>
        <w:rPr>
          <w:rFonts w:hint="eastAsia" w:ascii="仿宋" w:hAnsi="仿宋" w:eastAsia="仿宋" w:cs="Helvetica"/>
          <w:color w:val="auto"/>
          <w:kern w:val="0"/>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省统计局调查监测中心和省统计局襄阳调查监测分局交办的其他工作。</w:t>
      </w:r>
      <w:r>
        <w:rPr>
          <w:rFonts w:hint="eastAsia" w:ascii="仿宋" w:hAnsi="仿宋" w:eastAsia="仿宋" w:cs="Helvetica"/>
          <w:color w:val="auto"/>
          <w:kern w:val="0"/>
          <w:sz w:val="32"/>
          <w:szCs w:val="32"/>
        </w:rPr>
        <w:br w:type="textWrapping"/>
      </w:r>
      <w:r>
        <w:rPr>
          <w:rFonts w:hint="eastAsia" w:ascii="仿宋" w:hAnsi="仿宋" w:eastAsia="仿宋" w:cs="Helvetica"/>
          <w:color w:val="auto"/>
          <w:kern w:val="0"/>
          <w:sz w:val="32"/>
          <w:szCs w:val="32"/>
        </w:rPr>
        <w:t xml:space="preserve">    </w:t>
      </w:r>
      <w:r>
        <w:rPr>
          <w:rFonts w:hint="eastAsia" w:ascii="楷体" w:hAnsi="楷体" w:eastAsia="楷体" w:cs="Helvetica"/>
          <w:b/>
          <w:bCs/>
          <w:color w:val="auto"/>
          <w:kern w:val="0"/>
          <w:sz w:val="32"/>
          <w:szCs w:val="32"/>
        </w:rPr>
        <w:t>（二）调查监测二科的主要职责是:</w:t>
      </w:r>
      <w:r>
        <w:rPr>
          <w:rFonts w:hint="eastAsia" w:ascii="仿宋" w:hAnsi="仿宋" w:eastAsia="仿宋" w:cs="Helvetica"/>
          <w:color w:val="auto"/>
          <w:kern w:val="0"/>
          <w:sz w:val="32"/>
          <w:szCs w:val="32"/>
        </w:rPr>
        <w:t>负责统计数据质量监测和核查；开展相关统计调查和监测工作；开展统计执法相关工作；开展统计分析研究工作；参与大型国情国力调查等重大统计工作；协助地方统计局开展相关工作；完成省统计局、省统计局调查监测中心和省统计局襄阳调查监测分局交办的其他工作。</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三、预算收支及增减变化情况</w:t>
      </w:r>
    </w:p>
    <w:p>
      <w:pPr>
        <w:widowControl/>
        <w:spacing w:line="520" w:lineRule="exact"/>
        <w:ind w:firstLine="643" w:firstLineChars="200"/>
        <w:rPr>
          <w:rFonts w:ascii="仿宋" w:hAnsi="仿宋" w:eastAsia="仿宋" w:cs="仿宋_GB2312"/>
          <w:bCs/>
          <w:color w:val="auto"/>
          <w:kern w:val="0"/>
          <w:sz w:val="32"/>
          <w:szCs w:val="32"/>
        </w:rPr>
      </w:pPr>
      <w:r>
        <w:rPr>
          <w:rFonts w:ascii="楷体" w:hAnsi="楷体" w:eastAsia="楷体" w:cs="Helvetica"/>
          <w:b/>
          <w:bCs/>
          <w:color w:val="auto"/>
          <w:kern w:val="0"/>
          <w:sz w:val="32"/>
          <w:szCs w:val="32"/>
        </w:rPr>
        <w:t>1.</w:t>
      </w:r>
      <w:r>
        <w:rPr>
          <w:rFonts w:hint="eastAsia" w:ascii="楷体" w:hAnsi="楷体" w:eastAsia="楷体" w:cs="Helvetica"/>
          <w:b/>
          <w:bCs/>
          <w:color w:val="auto"/>
          <w:kern w:val="0"/>
          <w:sz w:val="32"/>
          <w:szCs w:val="32"/>
        </w:rPr>
        <w:t>预算收入情况:</w:t>
      </w:r>
      <w:r>
        <w:rPr>
          <w:rFonts w:hint="eastAsia" w:ascii="仿宋" w:hAnsi="仿宋" w:eastAsia="仿宋" w:cs="仿宋_GB2312"/>
          <w:bCs/>
          <w:color w:val="auto"/>
          <w:kern w:val="0"/>
          <w:sz w:val="32"/>
          <w:szCs w:val="32"/>
        </w:rPr>
        <w:t>2023年本年</w:t>
      </w:r>
      <w:r>
        <w:rPr>
          <w:rFonts w:ascii="仿宋" w:hAnsi="仿宋" w:eastAsia="仿宋" w:cs="仿宋_GB2312"/>
          <w:bCs/>
          <w:color w:val="auto"/>
          <w:kern w:val="0"/>
          <w:sz w:val="32"/>
          <w:szCs w:val="32"/>
        </w:rPr>
        <w:t>收入</w:t>
      </w:r>
      <w:r>
        <w:rPr>
          <w:rFonts w:hint="eastAsia" w:ascii="仿宋" w:hAnsi="仿宋" w:eastAsia="仿宋" w:cs="仿宋_GB2312"/>
          <w:bCs/>
          <w:color w:val="auto"/>
          <w:kern w:val="0"/>
          <w:sz w:val="32"/>
          <w:szCs w:val="32"/>
        </w:rPr>
        <w:t>为210.40万元，比上年增加18.8万</w:t>
      </w:r>
      <w:r>
        <w:rPr>
          <w:rFonts w:ascii="仿宋" w:hAnsi="仿宋" w:eastAsia="仿宋" w:cs="仿宋_GB2312"/>
          <w:bCs/>
          <w:color w:val="auto"/>
          <w:kern w:val="0"/>
          <w:sz w:val="32"/>
          <w:szCs w:val="32"/>
        </w:rPr>
        <w:t>元，</w:t>
      </w:r>
      <w:r>
        <w:rPr>
          <w:rFonts w:hint="eastAsia" w:ascii="仿宋" w:hAnsi="仿宋" w:eastAsia="仿宋" w:cs="仿宋_GB2312"/>
          <w:bCs/>
          <w:color w:val="auto"/>
          <w:kern w:val="0"/>
          <w:sz w:val="32"/>
          <w:szCs w:val="32"/>
        </w:rPr>
        <w:t>增长9.81</w:t>
      </w:r>
      <w:r>
        <w:rPr>
          <w:rFonts w:ascii="仿宋" w:hAnsi="仿宋" w:eastAsia="仿宋" w:cs="仿宋_GB2312"/>
          <w:bCs/>
          <w:color w:val="auto"/>
          <w:kern w:val="0"/>
          <w:sz w:val="32"/>
          <w:szCs w:val="32"/>
        </w:rPr>
        <w:t>%</w:t>
      </w:r>
      <w:r>
        <w:rPr>
          <w:rFonts w:hint="eastAsia" w:ascii="仿宋" w:hAnsi="仿宋" w:eastAsia="仿宋" w:cs="仿宋_GB2312"/>
          <w:bCs/>
          <w:color w:val="auto"/>
          <w:kern w:val="0"/>
          <w:sz w:val="32"/>
          <w:szCs w:val="32"/>
        </w:rPr>
        <w:t>。其中，经费拨款210.40万元，占本年收入的</w:t>
      </w:r>
      <w:r>
        <w:rPr>
          <w:rFonts w:ascii="仿宋" w:hAnsi="仿宋" w:eastAsia="仿宋" w:cs="仿宋_GB2312"/>
          <w:bCs/>
          <w:color w:val="auto"/>
          <w:kern w:val="0"/>
          <w:sz w:val="32"/>
          <w:szCs w:val="32"/>
        </w:rPr>
        <w:t>100</w:t>
      </w:r>
      <w:r>
        <w:rPr>
          <w:rFonts w:hint="eastAsia" w:ascii="仿宋" w:hAnsi="仿宋" w:eastAsia="仿宋" w:cs="仿宋_GB2312"/>
          <w:bCs/>
          <w:color w:val="auto"/>
          <w:kern w:val="0"/>
          <w:sz w:val="32"/>
          <w:szCs w:val="32"/>
        </w:rPr>
        <w:t>%，无上</w:t>
      </w:r>
      <w:r>
        <w:rPr>
          <w:rFonts w:ascii="仿宋" w:hAnsi="仿宋" w:eastAsia="仿宋" w:cs="仿宋_GB2312"/>
          <w:bCs/>
          <w:color w:val="auto"/>
          <w:kern w:val="0"/>
          <w:sz w:val="32"/>
          <w:szCs w:val="32"/>
        </w:rPr>
        <w:t>年结转经费和其他收入预算。</w:t>
      </w:r>
    </w:p>
    <w:p>
      <w:pPr>
        <w:widowControl/>
        <w:ind w:firstLine="640" w:firstLineChars="200"/>
        <w:rPr>
          <w:rFonts w:ascii="仿宋_GB2312" w:eastAsia="仿宋_GB2312"/>
          <w:color w:val="auto"/>
          <w:sz w:val="32"/>
        </w:rPr>
      </w:pPr>
      <w:r>
        <w:rPr>
          <w:rFonts w:hint="eastAsia" w:ascii="仿宋_GB2312" w:eastAsia="仿宋_GB2312"/>
          <w:color w:val="auto"/>
          <w:sz w:val="32"/>
        </w:rPr>
        <w:t>收入增加原因：经费拨款增加</w:t>
      </w:r>
      <w:r>
        <w:rPr>
          <w:rFonts w:hint="eastAsia" w:ascii="仿宋" w:hAnsi="仿宋" w:eastAsia="仿宋" w:cs="仿宋_GB2312"/>
          <w:bCs/>
          <w:color w:val="auto"/>
          <w:kern w:val="0"/>
          <w:sz w:val="32"/>
          <w:szCs w:val="32"/>
        </w:rPr>
        <w:t>18.8</w:t>
      </w:r>
      <w:r>
        <w:rPr>
          <w:rFonts w:hint="eastAsia" w:ascii="仿宋_GB2312" w:eastAsia="仿宋_GB2312"/>
          <w:color w:val="auto"/>
          <w:sz w:val="32"/>
        </w:rPr>
        <w:t>万元。</w:t>
      </w:r>
    </w:p>
    <w:p>
      <w:pPr>
        <w:widowControl/>
        <w:spacing w:line="520" w:lineRule="exact"/>
        <w:ind w:firstLine="643" w:firstLineChars="200"/>
        <w:rPr>
          <w:rFonts w:ascii="楷体" w:hAnsi="楷体" w:eastAsia="楷体" w:cs="Helvetica"/>
          <w:b/>
          <w:bCs/>
          <w:color w:val="auto"/>
          <w:kern w:val="0"/>
          <w:sz w:val="32"/>
          <w:szCs w:val="32"/>
        </w:rPr>
      </w:pPr>
      <w:r>
        <w:rPr>
          <w:rFonts w:hint="eastAsia" w:ascii="楷体" w:hAnsi="楷体" w:eastAsia="楷体" w:cs="Helvetica"/>
          <w:b/>
          <w:bCs/>
          <w:color w:val="auto"/>
          <w:kern w:val="0"/>
          <w:sz w:val="32"/>
          <w:szCs w:val="32"/>
        </w:rPr>
        <w:t>2</w:t>
      </w:r>
      <w:r>
        <w:rPr>
          <w:rFonts w:ascii="楷体" w:hAnsi="楷体" w:eastAsia="楷体" w:cs="Helvetica"/>
          <w:b/>
          <w:bCs/>
          <w:color w:val="auto"/>
          <w:kern w:val="0"/>
          <w:sz w:val="32"/>
          <w:szCs w:val="32"/>
        </w:rPr>
        <w:t>.</w:t>
      </w:r>
      <w:r>
        <w:rPr>
          <w:rFonts w:hint="eastAsia" w:ascii="楷体" w:hAnsi="楷体" w:eastAsia="楷体" w:cs="Helvetica"/>
          <w:b/>
          <w:bCs/>
          <w:color w:val="auto"/>
          <w:kern w:val="0"/>
          <w:sz w:val="32"/>
          <w:szCs w:val="32"/>
        </w:rPr>
        <w:t>预算支</w:t>
      </w:r>
      <w:r>
        <w:rPr>
          <w:rFonts w:ascii="楷体" w:hAnsi="楷体" w:eastAsia="楷体" w:cs="Helvetica"/>
          <w:b/>
          <w:bCs/>
          <w:color w:val="auto"/>
          <w:kern w:val="0"/>
          <w:sz w:val="32"/>
          <w:szCs w:val="32"/>
        </w:rPr>
        <w:t>出</w:t>
      </w:r>
      <w:r>
        <w:rPr>
          <w:rFonts w:hint="eastAsia" w:ascii="楷体" w:hAnsi="楷体" w:eastAsia="楷体" w:cs="Helvetica"/>
          <w:b/>
          <w:bCs/>
          <w:color w:val="auto"/>
          <w:kern w:val="0"/>
          <w:sz w:val="32"/>
          <w:szCs w:val="32"/>
        </w:rPr>
        <w:t>情况：</w:t>
      </w:r>
      <w:r>
        <w:rPr>
          <w:rFonts w:hint="eastAsia" w:ascii="仿宋" w:hAnsi="仿宋" w:eastAsia="仿宋" w:cs="仿宋_GB2312"/>
          <w:bCs/>
          <w:color w:val="auto"/>
          <w:kern w:val="0"/>
          <w:sz w:val="32"/>
          <w:szCs w:val="32"/>
        </w:rPr>
        <w:t>2023年本年支出210.40万元,比上年</w:t>
      </w:r>
      <w:r>
        <w:rPr>
          <w:rFonts w:ascii="仿宋" w:hAnsi="仿宋" w:eastAsia="仿宋" w:cs="仿宋_GB2312"/>
          <w:bCs/>
          <w:color w:val="auto"/>
          <w:kern w:val="0"/>
          <w:sz w:val="32"/>
          <w:szCs w:val="32"/>
        </w:rPr>
        <w:t>增加</w:t>
      </w:r>
      <w:r>
        <w:rPr>
          <w:rFonts w:hint="eastAsia" w:ascii="仿宋" w:hAnsi="仿宋" w:eastAsia="仿宋" w:cs="仿宋_GB2312"/>
          <w:bCs/>
          <w:color w:val="auto"/>
          <w:kern w:val="0"/>
          <w:sz w:val="32"/>
          <w:szCs w:val="32"/>
        </w:rPr>
        <w:t>18.80万</w:t>
      </w:r>
      <w:r>
        <w:rPr>
          <w:rFonts w:ascii="仿宋" w:hAnsi="仿宋" w:eastAsia="仿宋" w:cs="仿宋_GB2312"/>
          <w:bCs/>
          <w:color w:val="auto"/>
          <w:kern w:val="0"/>
          <w:sz w:val="32"/>
          <w:szCs w:val="32"/>
        </w:rPr>
        <w:t>元，</w:t>
      </w:r>
      <w:r>
        <w:rPr>
          <w:rFonts w:hint="eastAsia" w:ascii="仿宋" w:hAnsi="仿宋" w:eastAsia="仿宋" w:cs="仿宋_GB2312"/>
          <w:bCs/>
          <w:color w:val="auto"/>
          <w:kern w:val="0"/>
          <w:sz w:val="32"/>
          <w:szCs w:val="32"/>
        </w:rPr>
        <w:t>增长9.81</w:t>
      </w:r>
      <w:r>
        <w:rPr>
          <w:rFonts w:ascii="仿宋" w:hAnsi="仿宋" w:eastAsia="仿宋" w:cs="仿宋_GB2312"/>
          <w:bCs/>
          <w:color w:val="auto"/>
          <w:kern w:val="0"/>
          <w:sz w:val="32"/>
          <w:szCs w:val="32"/>
        </w:rPr>
        <w:t>%</w:t>
      </w:r>
      <w:r>
        <w:rPr>
          <w:rFonts w:hint="eastAsia" w:ascii="仿宋" w:hAnsi="仿宋" w:eastAsia="仿宋" w:cs="仿宋_GB2312"/>
          <w:bCs/>
          <w:color w:val="auto"/>
          <w:kern w:val="0"/>
          <w:sz w:val="32"/>
          <w:szCs w:val="32"/>
        </w:rPr>
        <w:t>。其中，基本支出192.40万元，占总支出的91.44%；项目支出18万元，占总支出的8.56%。本年支出构成为：一般公共服务支出175.43万元，占本年支出</w:t>
      </w:r>
      <w:r>
        <w:rPr>
          <w:rFonts w:ascii="仿宋" w:hAnsi="仿宋" w:eastAsia="仿宋" w:cs="仿宋_GB2312"/>
          <w:bCs/>
          <w:color w:val="auto"/>
          <w:kern w:val="0"/>
          <w:sz w:val="32"/>
          <w:szCs w:val="32"/>
        </w:rPr>
        <w:t>83.</w:t>
      </w:r>
      <w:r>
        <w:rPr>
          <w:rFonts w:hint="eastAsia" w:ascii="仿宋" w:hAnsi="仿宋" w:eastAsia="仿宋" w:cs="仿宋_GB2312"/>
          <w:bCs/>
          <w:color w:val="auto"/>
          <w:kern w:val="0"/>
          <w:sz w:val="32"/>
          <w:szCs w:val="32"/>
        </w:rPr>
        <w:t>38%；社会保障和就业支出17.30万元，占本年支出</w:t>
      </w:r>
      <w:r>
        <w:rPr>
          <w:rFonts w:ascii="仿宋" w:hAnsi="仿宋" w:eastAsia="仿宋" w:cs="仿宋_GB2312"/>
          <w:bCs/>
          <w:color w:val="auto"/>
          <w:kern w:val="0"/>
          <w:sz w:val="32"/>
          <w:szCs w:val="32"/>
        </w:rPr>
        <w:t>8.</w:t>
      </w:r>
      <w:r>
        <w:rPr>
          <w:rFonts w:hint="eastAsia" w:ascii="仿宋" w:hAnsi="仿宋" w:eastAsia="仿宋" w:cs="仿宋_GB2312"/>
          <w:bCs/>
          <w:color w:val="auto"/>
          <w:kern w:val="0"/>
          <w:sz w:val="32"/>
          <w:szCs w:val="32"/>
        </w:rPr>
        <w:t>22%；住房保障支出17.67万元，占本年支出8.40</w:t>
      </w:r>
      <w:r>
        <w:rPr>
          <w:rFonts w:ascii="仿宋" w:hAnsi="仿宋" w:eastAsia="仿宋" w:cs="仿宋_GB2312"/>
          <w:bCs/>
          <w:color w:val="auto"/>
          <w:kern w:val="0"/>
          <w:sz w:val="32"/>
          <w:szCs w:val="32"/>
        </w:rPr>
        <w:t>%</w:t>
      </w:r>
      <w:r>
        <w:rPr>
          <w:rFonts w:hint="eastAsia" w:ascii="仿宋" w:hAnsi="仿宋" w:eastAsia="仿宋" w:cs="仿宋_GB2312"/>
          <w:bCs/>
          <w:color w:val="auto"/>
          <w:kern w:val="0"/>
          <w:sz w:val="32"/>
          <w:szCs w:val="32"/>
        </w:rPr>
        <w:t>。</w:t>
      </w:r>
    </w:p>
    <w:p>
      <w:pPr>
        <w:pStyle w:val="5"/>
        <w:widowControl/>
        <w:spacing w:before="0" w:beforeAutospacing="0" w:after="0" w:afterAutospacing="0"/>
        <w:ind w:firstLine="640" w:firstLineChars="200"/>
        <w:jc w:val="both"/>
        <w:rPr>
          <w:rFonts w:ascii="仿宋" w:hAnsi="仿宋" w:eastAsia="仿宋" w:cs="仿宋_GB2312"/>
          <w:bCs/>
          <w:color w:val="auto"/>
          <w:sz w:val="32"/>
          <w:szCs w:val="32"/>
        </w:rPr>
      </w:pPr>
      <w:r>
        <w:rPr>
          <w:rFonts w:hint="eastAsia" w:ascii="仿宋_GB2312" w:eastAsia="仿宋_GB2312" w:cs="宋体"/>
          <w:color w:val="auto"/>
          <w:kern w:val="2"/>
          <w:sz w:val="32"/>
        </w:rPr>
        <w:t>支出增加原因：（1）2023年基本支出比上年增加</w:t>
      </w:r>
      <w:r>
        <w:rPr>
          <w:rFonts w:hint="eastAsia" w:ascii="仿宋" w:hAnsi="仿宋" w:eastAsia="仿宋" w:cs="仿宋_GB2312"/>
          <w:bCs/>
          <w:color w:val="auto"/>
          <w:sz w:val="32"/>
          <w:szCs w:val="32"/>
        </w:rPr>
        <w:t>10.80</w:t>
      </w:r>
      <w:r>
        <w:rPr>
          <w:rFonts w:hint="eastAsia" w:ascii="仿宋_GB2312" w:eastAsia="仿宋_GB2312" w:cs="宋体"/>
          <w:color w:val="auto"/>
          <w:kern w:val="2"/>
          <w:sz w:val="32"/>
        </w:rPr>
        <w:t>万元，主要是基本工资调标和绩效、养老保险缴费的支出增加</w:t>
      </w:r>
      <w:r>
        <w:rPr>
          <w:rFonts w:hint="eastAsia" w:ascii="仿宋_GB2312" w:eastAsia="仿宋_GB2312" w:cs="宋体"/>
          <w:color w:val="auto"/>
          <w:kern w:val="2"/>
          <w:sz w:val="32"/>
          <w:lang w:eastAsia="zh-CN"/>
        </w:rPr>
        <w:t>；</w:t>
      </w:r>
      <w:r>
        <w:rPr>
          <w:rFonts w:hint="eastAsia" w:ascii="仿宋_GB2312" w:eastAsia="仿宋_GB2312" w:cs="宋体"/>
          <w:color w:val="auto"/>
          <w:kern w:val="2"/>
          <w:sz w:val="32"/>
        </w:rPr>
        <w:t>（2）2023年项目支出较上年增加8万元</w:t>
      </w:r>
      <w:r>
        <w:rPr>
          <w:rFonts w:ascii="仿宋" w:hAnsi="仿宋" w:eastAsia="仿宋" w:cs="仿宋_GB2312"/>
          <w:bCs/>
          <w:color w:val="auto"/>
          <w:sz w:val="32"/>
          <w:szCs w:val="32"/>
        </w:rPr>
        <w:t>。</w:t>
      </w:r>
    </w:p>
    <w:p>
      <w:pPr>
        <w:widowControl/>
        <w:spacing w:line="520" w:lineRule="exact"/>
        <w:ind w:firstLine="321" w:firstLineChars="100"/>
        <w:rPr>
          <w:rFonts w:ascii="黑体" w:hAnsi="黑体" w:eastAsia="黑体" w:cs="Helvetica"/>
          <w:b/>
          <w:bCs/>
          <w:color w:val="auto"/>
          <w:kern w:val="0"/>
          <w:sz w:val="32"/>
          <w:szCs w:val="32"/>
        </w:rPr>
      </w:pPr>
      <w:r>
        <w:rPr>
          <w:rFonts w:hint="eastAsia" w:ascii="仿宋" w:hAnsi="仿宋" w:eastAsia="仿宋" w:cs="Helvetica"/>
          <w:b/>
          <w:bCs/>
          <w:color w:val="auto"/>
          <w:kern w:val="0"/>
          <w:sz w:val="32"/>
          <w:szCs w:val="32"/>
        </w:rPr>
        <w:t>　</w:t>
      </w:r>
      <w:r>
        <w:rPr>
          <w:rFonts w:hint="eastAsia" w:ascii="黑体" w:hAnsi="黑体" w:eastAsia="黑体" w:cs="Helvetica"/>
          <w:b/>
          <w:bCs/>
          <w:color w:val="auto"/>
          <w:kern w:val="0"/>
          <w:sz w:val="32"/>
          <w:szCs w:val="32"/>
        </w:rPr>
        <w:t>四、机关运行经费安排情况</w:t>
      </w:r>
    </w:p>
    <w:p>
      <w:pPr>
        <w:widowControl/>
        <w:spacing w:line="52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2023年机关运行经费预算总额为27万元，全部为商品和服务支出，日常公用支出比上年减少7万元，减少20.59%。</w:t>
      </w:r>
    </w:p>
    <w:p>
      <w:pPr>
        <w:widowControl/>
        <w:spacing w:line="52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机关运行经费分项为：办公费1.18万元，印刷费3.13万元，邮电费0.18万元，差旅费1.41万元，培训费3.96万元，劳务费3.60万元，委托业务费0.20万元，工会经费3.30万元，福利费0.90万元，其他交通费7.14万元，其他商品和服务支出2万元。</w:t>
      </w:r>
    </w:p>
    <w:p>
      <w:pPr>
        <w:widowControl/>
        <w:spacing w:line="520" w:lineRule="exact"/>
        <w:ind w:firstLine="643" w:firstLineChars="200"/>
        <w:rPr>
          <w:rFonts w:ascii="仿宋" w:hAnsi="仿宋" w:eastAsia="仿宋" w:cs="Arial"/>
          <w:color w:val="auto"/>
          <w:kern w:val="0"/>
          <w:sz w:val="32"/>
          <w:szCs w:val="32"/>
        </w:rPr>
      </w:pPr>
      <w:r>
        <w:rPr>
          <w:rFonts w:hint="eastAsia" w:ascii="黑体" w:hAnsi="黑体" w:eastAsia="黑体" w:cs="Helvetica"/>
          <w:b/>
          <w:bCs/>
          <w:color w:val="auto"/>
          <w:kern w:val="0"/>
          <w:sz w:val="32"/>
          <w:szCs w:val="32"/>
        </w:rPr>
        <w:t>五、一般公共预算“三公”经费及增减变化情况</w:t>
      </w:r>
    </w:p>
    <w:p>
      <w:pPr>
        <w:widowControl/>
        <w:spacing w:line="520" w:lineRule="exact"/>
        <w:ind w:firstLine="640" w:firstLineChars="200"/>
        <w:rPr>
          <w:rFonts w:ascii="仿宋" w:hAnsi="仿宋" w:eastAsia="仿宋" w:cs="Arial"/>
          <w:color w:val="auto"/>
          <w:kern w:val="0"/>
          <w:sz w:val="32"/>
          <w:szCs w:val="32"/>
        </w:rPr>
      </w:pPr>
      <w:r>
        <w:rPr>
          <w:rFonts w:hint="eastAsia" w:ascii="仿宋" w:hAnsi="仿宋" w:eastAsia="仿宋" w:cs="Helvetica"/>
          <w:bCs/>
          <w:color w:val="auto"/>
          <w:kern w:val="0"/>
          <w:sz w:val="32"/>
          <w:szCs w:val="32"/>
        </w:rPr>
        <w:t>2023年“三</w:t>
      </w:r>
      <w:r>
        <w:rPr>
          <w:rFonts w:ascii="仿宋" w:hAnsi="仿宋" w:eastAsia="仿宋" w:cs="Helvetica"/>
          <w:bCs/>
          <w:color w:val="auto"/>
          <w:kern w:val="0"/>
          <w:sz w:val="32"/>
          <w:szCs w:val="32"/>
        </w:rPr>
        <w:t>公”经费</w:t>
      </w:r>
      <w:r>
        <w:rPr>
          <w:rFonts w:hint="eastAsia" w:ascii="仿宋" w:hAnsi="仿宋" w:eastAsia="仿宋" w:cs="Helvetica"/>
          <w:bCs/>
          <w:color w:val="auto"/>
          <w:kern w:val="0"/>
          <w:sz w:val="32"/>
          <w:szCs w:val="32"/>
        </w:rPr>
        <w:t>预算总额</w:t>
      </w:r>
      <w:r>
        <w:rPr>
          <w:rFonts w:ascii="仿宋" w:hAnsi="仿宋" w:eastAsia="仿宋" w:cs="Helvetica"/>
          <w:bCs/>
          <w:color w:val="auto"/>
          <w:kern w:val="0"/>
          <w:sz w:val="32"/>
          <w:szCs w:val="32"/>
        </w:rPr>
        <w:t>0</w:t>
      </w:r>
      <w:r>
        <w:rPr>
          <w:rFonts w:hint="eastAsia" w:ascii="仿宋" w:hAnsi="仿宋" w:eastAsia="仿宋" w:cs="Helvetica"/>
          <w:bCs/>
          <w:color w:val="auto"/>
          <w:kern w:val="0"/>
          <w:sz w:val="32"/>
          <w:szCs w:val="32"/>
        </w:rPr>
        <w:t>万</w:t>
      </w:r>
      <w:r>
        <w:rPr>
          <w:rFonts w:ascii="仿宋" w:hAnsi="仿宋" w:eastAsia="仿宋" w:cs="Helvetica"/>
          <w:bCs/>
          <w:color w:val="auto"/>
          <w:kern w:val="0"/>
          <w:sz w:val="32"/>
          <w:szCs w:val="32"/>
        </w:rPr>
        <w:t>元</w:t>
      </w:r>
      <w:r>
        <w:rPr>
          <w:rFonts w:hint="eastAsia" w:ascii="仿宋" w:hAnsi="仿宋" w:eastAsia="仿宋" w:cs="Helvetica"/>
          <w:bCs/>
          <w:color w:val="auto"/>
          <w:kern w:val="0"/>
          <w:sz w:val="32"/>
          <w:szCs w:val="32"/>
        </w:rPr>
        <w:t>，与上年</w:t>
      </w:r>
      <w:r>
        <w:rPr>
          <w:rFonts w:ascii="仿宋" w:hAnsi="仿宋" w:eastAsia="仿宋" w:cs="Helvetica"/>
          <w:bCs/>
          <w:color w:val="auto"/>
          <w:kern w:val="0"/>
          <w:sz w:val="32"/>
          <w:szCs w:val="32"/>
        </w:rPr>
        <w:t>持平，</w:t>
      </w:r>
      <w:r>
        <w:rPr>
          <w:rFonts w:hint="eastAsia" w:ascii="仿宋" w:hAnsi="仿宋" w:eastAsia="仿宋" w:cs="Helvetica"/>
          <w:bCs/>
          <w:color w:val="auto"/>
          <w:kern w:val="0"/>
          <w:sz w:val="32"/>
          <w:szCs w:val="32"/>
        </w:rPr>
        <w:t>明细</w:t>
      </w:r>
      <w:r>
        <w:rPr>
          <w:rFonts w:ascii="仿宋" w:hAnsi="仿宋" w:eastAsia="仿宋" w:cs="Helvetica"/>
          <w:bCs/>
          <w:color w:val="auto"/>
          <w:kern w:val="0"/>
          <w:sz w:val="32"/>
          <w:szCs w:val="32"/>
        </w:rPr>
        <w:t>如下：</w:t>
      </w:r>
    </w:p>
    <w:p>
      <w:pPr>
        <w:widowControl/>
        <w:spacing w:line="520" w:lineRule="exact"/>
        <w:ind w:firstLine="640" w:firstLineChars="200"/>
        <w:rPr>
          <w:rFonts w:ascii="仿宋" w:hAnsi="仿宋" w:eastAsia="仿宋" w:cs="Arial"/>
          <w:color w:val="auto"/>
          <w:kern w:val="0"/>
          <w:sz w:val="32"/>
          <w:szCs w:val="32"/>
        </w:rPr>
      </w:pPr>
      <w:r>
        <w:rPr>
          <w:rFonts w:hint="eastAsia" w:ascii="仿宋" w:hAnsi="仿宋" w:eastAsia="仿宋" w:cs="Arial"/>
          <w:color w:val="auto"/>
          <w:sz w:val="32"/>
          <w:szCs w:val="32"/>
        </w:rPr>
        <w:t>1、因公出国（境）费</w:t>
      </w:r>
      <w:r>
        <w:rPr>
          <w:rFonts w:ascii="仿宋" w:hAnsi="仿宋" w:eastAsia="仿宋" w:cs="Arial"/>
          <w:color w:val="auto"/>
          <w:sz w:val="32"/>
          <w:szCs w:val="32"/>
        </w:rPr>
        <w:t>0</w:t>
      </w:r>
      <w:r>
        <w:rPr>
          <w:rFonts w:hint="eastAsia" w:ascii="仿宋" w:hAnsi="仿宋" w:eastAsia="仿宋" w:cs="Arial"/>
          <w:color w:val="auto"/>
          <w:sz w:val="32"/>
          <w:szCs w:val="32"/>
        </w:rPr>
        <w:t>万元，与</w:t>
      </w:r>
      <w:r>
        <w:rPr>
          <w:rFonts w:ascii="仿宋" w:hAnsi="仿宋" w:eastAsia="仿宋" w:cs="Arial"/>
          <w:color w:val="auto"/>
          <w:sz w:val="32"/>
          <w:szCs w:val="32"/>
        </w:rPr>
        <w:t>上年持平。</w:t>
      </w:r>
    </w:p>
    <w:p>
      <w:pPr>
        <w:widowControl/>
        <w:spacing w:line="520" w:lineRule="exact"/>
        <w:ind w:firstLine="480"/>
        <w:jc w:val="left"/>
        <w:rPr>
          <w:rFonts w:ascii="仿宋" w:hAnsi="仿宋" w:eastAsia="仿宋" w:cs="Arial"/>
          <w:color w:val="auto"/>
          <w:sz w:val="32"/>
          <w:szCs w:val="32"/>
        </w:rPr>
      </w:pPr>
      <w:r>
        <w:rPr>
          <w:rFonts w:hint="eastAsia" w:ascii="仿宋" w:hAnsi="仿宋" w:eastAsia="仿宋" w:cs="Arial"/>
          <w:color w:val="auto"/>
          <w:sz w:val="32"/>
          <w:szCs w:val="32"/>
        </w:rPr>
        <w:t xml:space="preserve"> 2、公务接待费</w:t>
      </w:r>
      <w:r>
        <w:rPr>
          <w:rFonts w:ascii="仿宋" w:hAnsi="仿宋" w:eastAsia="仿宋" w:cs="Arial"/>
          <w:color w:val="auto"/>
          <w:sz w:val="32"/>
          <w:szCs w:val="32"/>
        </w:rPr>
        <w:t>0</w:t>
      </w:r>
      <w:r>
        <w:rPr>
          <w:rFonts w:hint="eastAsia" w:ascii="仿宋" w:hAnsi="仿宋" w:eastAsia="仿宋" w:cs="Arial"/>
          <w:color w:val="auto"/>
          <w:sz w:val="32"/>
          <w:szCs w:val="32"/>
        </w:rPr>
        <w:t>万元</w:t>
      </w:r>
      <w:r>
        <w:rPr>
          <w:rFonts w:ascii="仿宋" w:hAnsi="仿宋" w:eastAsia="仿宋" w:cs="Arial"/>
          <w:color w:val="auto"/>
          <w:sz w:val="32"/>
          <w:szCs w:val="32"/>
        </w:rPr>
        <w:t>，</w:t>
      </w:r>
      <w:r>
        <w:rPr>
          <w:rFonts w:hint="eastAsia" w:ascii="仿宋" w:hAnsi="仿宋" w:eastAsia="仿宋" w:cs="Arial"/>
          <w:color w:val="auto"/>
          <w:sz w:val="32"/>
          <w:szCs w:val="32"/>
        </w:rPr>
        <w:t>与</w:t>
      </w:r>
      <w:r>
        <w:rPr>
          <w:rFonts w:ascii="仿宋" w:hAnsi="仿宋" w:eastAsia="仿宋" w:cs="Arial"/>
          <w:color w:val="auto"/>
          <w:sz w:val="32"/>
          <w:szCs w:val="32"/>
        </w:rPr>
        <w:t>上年持平。</w:t>
      </w:r>
    </w:p>
    <w:p>
      <w:pPr>
        <w:widowControl/>
        <w:spacing w:line="520" w:lineRule="exact"/>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rPr>
        <w:t>3、公务用车购置及运行费</w:t>
      </w:r>
      <w:r>
        <w:rPr>
          <w:rFonts w:ascii="仿宋" w:hAnsi="仿宋" w:eastAsia="仿宋" w:cs="Arial"/>
          <w:color w:val="auto"/>
          <w:sz w:val="32"/>
          <w:szCs w:val="32"/>
        </w:rPr>
        <w:t>0</w:t>
      </w:r>
      <w:r>
        <w:rPr>
          <w:rFonts w:hint="eastAsia" w:ascii="仿宋" w:hAnsi="仿宋" w:eastAsia="仿宋" w:cs="Arial"/>
          <w:color w:val="auto"/>
          <w:sz w:val="32"/>
          <w:szCs w:val="32"/>
        </w:rPr>
        <w:t>万元，与</w:t>
      </w:r>
      <w:r>
        <w:rPr>
          <w:rFonts w:ascii="仿宋" w:hAnsi="仿宋" w:eastAsia="仿宋" w:cs="Arial"/>
          <w:color w:val="auto"/>
          <w:sz w:val="32"/>
          <w:szCs w:val="32"/>
        </w:rPr>
        <w:t>上年</w:t>
      </w:r>
      <w:r>
        <w:rPr>
          <w:rFonts w:hint="eastAsia" w:ascii="仿宋" w:hAnsi="仿宋" w:eastAsia="仿宋" w:cs="Arial"/>
          <w:color w:val="auto"/>
          <w:sz w:val="32"/>
          <w:szCs w:val="32"/>
        </w:rPr>
        <w:t>持平。</w:t>
      </w:r>
      <w:r>
        <w:rPr>
          <w:rFonts w:hint="eastAsia" w:ascii="仿宋" w:hAnsi="仿宋" w:eastAsia="仿宋" w:cs="Arial"/>
          <w:color w:val="auto"/>
          <w:sz w:val="32"/>
          <w:szCs w:val="32"/>
        </w:rPr>
        <w:t>我单位公务</w:t>
      </w:r>
      <w:r>
        <w:rPr>
          <w:rFonts w:ascii="仿宋" w:hAnsi="仿宋" w:eastAsia="仿宋" w:cs="Arial"/>
          <w:color w:val="auto"/>
          <w:sz w:val="32"/>
          <w:szCs w:val="32"/>
        </w:rPr>
        <w:t>用车</w:t>
      </w:r>
      <w:r>
        <w:rPr>
          <w:rFonts w:hint="eastAsia" w:ascii="仿宋" w:hAnsi="仿宋" w:eastAsia="仿宋" w:cs="Arial"/>
          <w:color w:val="auto"/>
          <w:sz w:val="32"/>
          <w:szCs w:val="32"/>
        </w:rPr>
        <w:t>全</w:t>
      </w:r>
      <w:r>
        <w:rPr>
          <w:rFonts w:ascii="仿宋" w:hAnsi="仿宋" w:eastAsia="仿宋" w:cs="Arial"/>
          <w:color w:val="auto"/>
          <w:sz w:val="32"/>
          <w:szCs w:val="32"/>
        </w:rPr>
        <w:t>部由局机关统一管理，统一核算，</w:t>
      </w:r>
      <w:r>
        <w:rPr>
          <w:rFonts w:ascii="仿宋" w:hAnsi="仿宋" w:eastAsia="仿宋" w:cs="Arial"/>
          <w:color w:val="auto"/>
          <w:sz w:val="32"/>
          <w:szCs w:val="32"/>
        </w:rPr>
        <w:t>故没有安排公务用车运行费</w:t>
      </w:r>
      <w:r>
        <w:rPr>
          <w:rFonts w:hint="eastAsia" w:ascii="仿宋" w:hAnsi="仿宋" w:eastAsia="仿宋" w:cs="Arial"/>
          <w:color w:val="auto"/>
          <w:sz w:val="32"/>
          <w:szCs w:val="32"/>
        </w:rPr>
        <w:t>相</w:t>
      </w:r>
      <w:r>
        <w:rPr>
          <w:rFonts w:ascii="仿宋" w:hAnsi="仿宋" w:eastAsia="仿宋" w:cs="Arial"/>
          <w:color w:val="auto"/>
          <w:sz w:val="32"/>
          <w:szCs w:val="32"/>
        </w:rPr>
        <w:t>关预算</w:t>
      </w:r>
      <w:r>
        <w:rPr>
          <w:rFonts w:ascii="仿宋" w:hAnsi="仿宋" w:eastAsia="仿宋" w:cs="Arial"/>
          <w:color w:val="auto"/>
          <w:sz w:val="32"/>
          <w:szCs w:val="32"/>
        </w:rPr>
        <w:t>。</w:t>
      </w:r>
    </w:p>
    <w:p>
      <w:pPr>
        <w:widowControl/>
        <w:spacing w:line="520" w:lineRule="exact"/>
        <w:ind w:firstLine="640" w:firstLineChars="200"/>
        <w:jc w:val="left"/>
        <w:rPr>
          <w:rFonts w:ascii="黑体" w:hAnsi="黑体" w:eastAsia="黑体" w:cs="黑体"/>
          <w:color w:val="auto"/>
          <w:kern w:val="0"/>
          <w:sz w:val="32"/>
          <w:szCs w:val="32"/>
        </w:rPr>
      </w:pPr>
      <w:r>
        <w:rPr>
          <w:rFonts w:hint="eastAsia" w:ascii="黑体" w:hAnsi="黑体" w:eastAsia="黑体" w:cs="黑体"/>
          <w:color w:val="auto"/>
          <w:kern w:val="0"/>
          <w:sz w:val="32"/>
          <w:szCs w:val="32"/>
        </w:rPr>
        <w:t>六、</w:t>
      </w:r>
      <w:r>
        <w:rPr>
          <w:rFonts w:hint="eastAsia" w:ascii="黑体" w:hAnsi="黑体" w:eastAsia="黑体" w:cs="黑体"/>
          <w:color w:val="auto"/>
          <w:kern w:val="0"/>
          <w:sz w:val="32"/>
          <w:szCs w:val="32"/>
        </w:rPr>
        <w:t>政府采购安排情况说明</w:t>
      </w:r>
      <w:bookmarkStart w:id="0" w:name="_GoBack"/>
      <w:bookmarkEnd w:id="0"/>
    </w:p>
    <w:p>
      <w:pPr>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我单位政府采购工作由省统计局统一管理，按照省财政要求办理政府采购业务，我单位没有单独安排政府采购预算。</w:t>
      </w:r>
    </w:p>
    <w:p>
      <w:pPr>
        <w:adjustRightInd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七、国有资产占用情况</w:t>
      </w:r>
    </w:p>
    <w:p>
      <w:pPr>
        <w:widowControl/>
        <w:spacing w:line="520" w:lineRule="exact"/>
        <w:ind w:firstLine="48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我单位固定资产均由局机关统一管理，统一按照财政要求，管理核算国有资产，没有单独核算国有资产。</w:t>
      </w:r>
    </w:p>
    <w:p>
      <w:pPr>
        <w:widowControl/>
        <w:spacing w:line="520" w:lineRule="exact"/>
        <w:ind w:firstLine="480"/>
        <w:rPr>
          <w:rFonts w:ascii="黑体" w:hAnsi="黑体" w:eastAsia="黑体" w:cs="Helvetica"/>
          <w:b/>
          <w:bCs/>
          <w:color w:val="auto"/>
          <w:kern w:val="0"/>
          <w:sz w:val="32"/>
          <w:szCs w:val="32"/>
        </w:rPr>
      </w:pPr>
      <w:r>
        <w:rPr>
          <w:rFonts w:hint="eastAsia" w:ascii="黑体" w:hAnsi="黑体" w:eastAsia="黑体" w:cs="Helvetica"/>
          <w:b/>
          <w:bCs/>
          <w:color w:val="auto"/>
          <w:kern w:val="0"/>
          <w:sz w:val="32"/>
          <w:szCs w:val="32"/>
        </w:rPr>
        <w:t>八、重点项目绩效情况</w:t>
      </w:r>
    </w:p>
    <w:p>
      <w:pPr>
        <w:adjustRightIn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 w:eastAsia="仿宋_GB2312" w:cs="Helvetica"/>
          <w:color w:val="auto"/>
          <w:sz w:val="32"/>
          <w:szCs w:val="32"/>
        </w:rPr>
        <w:t>“全省统计检测与执法经费”主要内容是：一是对执法骨干开展业务培训；二是开展统计执法宣传；三是开展执法检查、督办以及数据质量抽查；四是其他应急执法检查和专项检查任务。</w:t>
      </w:r>
      <w:r>
        <w:rPr>
          <w:rFonts w:hint="eastAsia" w:ascii="仿宋_GB2312" w:hAnsi="仿宋_GB2312" w:eastAsia="仿宋_GB2312" w:cs="仿宋_GB2312"/>
          <w:color w:val="auto"/>
          <w:sz w:val="32"/>
          <w:szCs w:val="32"/>
        </w:rPr>
        <w:t>2023年预算安排18万元，资金来源为当年一般公共预算财政拨款。</w:t>
      </w:r>
    </w:p>
    <w:p>
      <w:pPr>
        <w:adjustRightIn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度项目绩效总目标是：健全统计执法机制，强化统计基层基础工作建设，落实执法业务培训，完成全县地方统计调查数据的质量监测和核查工作。参与并组织执法业务宣传与培训，提升业务水平；开展数据质量核查，及时将结果上报给市局。</w:t>
      </w:r>
    </w:p>
    <w:p>
      <w:pPr>
        <w:adjustRightIn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产出指标：数据质量核查频次4次/年；企业统计法律法规培训完成率100%；办公用品购置率100%；统计普法宣传落实率100%；执法培训参与率100%；数据上报及时率为及时。</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eastAsia="仿宋_GB2312"/>
          <w:color w:val="auto"/>
          <w:sz w:val="32"/>
        </w:rPr>
        <w:t>满意度指标：</w:t>
      </w:r>
      <w:r>
        <w:rPr>
          <w:rFonts w:ascii="仿宋_GB2312" w:eastAsia="仿宋_GB2312"/>
          <w:color w:val="auto"/>
          <w:sz w:val="32"/>
        </w:rPr>
        <w:t>政府及社会公众</w:t>
      </w:r>
      <w:r>
        <w:rPr>
          <w:rFonts w:hint="eastAsia" w:ascii="仿宋_GB2312" w:eastAsia="仿宋_GB2312"/>
          <w:color w:val="auto"/>
          <w:sz w:val="32"/>
        </w:rPr>
        <w:t>满意</w:t>
      </w:r>
      <w:r>
        <w:rPr>
          <w:rFonts w:ascii="仿宋_GB2312" w:eastAsia="仿宋_GB2312"/>
          <w:color w:val="auto"/>
          <w:sz w:val="32"/>
        </w:rPr>
        <w:t>度</w:t>
      </w:r>
      <w:r>
        <w:rPr>
          <w:rFonts w:hint="eastAsia" w:ascii="仿宋_GB2312" w:eastAsia="仿宋_GB2312"/>
          <w:color w:val="auto"/>
          <w:sz w:val="32"/>
        </w:rPr>
        <w:t>≥</w:t>
      </w:r>
      <w:r>
        <w:rPr>
          <w:rFonts w:ascii="仿宋_GB2312" w:eastAsia="仿宋_GB2312"/>
          <w:color w:val="auto"/>
          <w:sz w:val="32"/>
        </w:rPr>
        <w:t>85</w:t>
      </w:r>
      <w:r>
        <w:rPr>
          <w:rFonts w:hint="eastAsia" w:ascii="仿宋_GB2312" w:eastAsia="仿宋_GB2312"/>
          <w:color w:val="auto"/>
          <w:sz w:val="32"/>
        </w:rPr>
        <w:t>%。</w:t>
      </w:r>
    </w:p>
    <w:p>
      <w:pPr>
        <w:adjustRightIn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效益指标：统计执法工作保障度为有效保障。</w:t>
      </w:r>
    </w:p>
    <w:p>
      <w:pPr>
        <w:widowControl/>
        <w:spacing w:line="560" w:lineRule="exact"/>
        <w:ind w:firstLine="643" w:firstLineChars="200"/>
        <w:rPr>
          <w:rFonts w:ascii="黑体" w:hAnsi="黑体" w:eastAsia="黑体" w:cs="Helvetica"/>
          <w:b/>
          <w:bCs/>
          <w:color w:val="auto"/>
          <w:kern w:val="0"/>
          <w:sz w:val="32"/>
          <w:szCs w:val="32"/>
        </w:rPr>
      </w:pPr>
      <w:r>
        <w:rPr>
          <w:rFonts w:hint="eastAsia" w:ascii="黑体" w:hAnsi="黑体" w:eastAsia="黑体" w:cs="Helvetica"/>
          <w:b/>
          <w:bCs/>
          <w:color w:val="auto"/>
          <w:kern w:val="0"/>
          <w:sz w:val="32"/>
          <w:szCs w:val="32"/>
        </w:rPr>
        <w:t>九、其他需要说明的情况</w:t>
      </w:r>
    </w:p>
    <w:p>
      <w:pPr>
        <w:widowControl/>
        <w:spacing w:line="520" w:lineRule="exact"/>
        <w:ind w:firstLine="66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1.对空表的说明：</w:t>
      </w:r>
      <w:r>
        <w:rPr>
          <w:rFonts w:hint="eastAsia" w:ascii="仿宋_GB2312" w:hAnsi="仿宋_GB2312" w:eastAsia="仿宋_GB2312" w:cs="仿宋_GB2312"/>
          <w:bCs/>
          <w:color w:val="auto"/>
          <w:kern w:val="0"/>
          <w:sz w:val="32"/>
          <w:szCs w:val="32"/>
        </w:rPr>
        <w:t>附表7一般公共预算“三公”经费支出表，本单位2023年无“三公”经费支出，此表为空表。附表8政府性基金预算支出表，本单位2023年无此类支出，此表为空表。</w:t>
      </w:r>
    </w:p>
    <w:p>
      <w:pPr>
        <w:widowControl/>
        <w:spacing w:line="520" w:lineRule="exact"/>
        <w:ind w:firstLine="66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2.其他情况的说明：</w:t>
      </w:r>
      <w:r>
        <w:rPr>
          <w:rFonts w:hint="eastAsia" w:ascii="仿宋_GB2312" w:hAnsi="仿宋_GB2312" w:eastAsia="仿宋_GB2312" w:cs="仿宋_GB2312"/>
          <w:bCs/>
          <w:color w:val="auto"/>
          <w:kern w:val="0"/>
          <w:sz w:val="32"/>
          <w:szCs w:val="32"/>
        </w:rPr>
        <w:t>本单位2023年无财政省本级专项支出、无一般性转移支付支出、无专项转移支付支出、无举借政府债务情况。</w:t>
      </w:r>
    </w:p>
    <w:p>
      <w:pPr>
        <w:widowControl/>
        <w:spacing w:line="520" w:lineRule="exact"/>
        <w:ind w:firstLine="660"/>
        <w:rPr>
          <w:rFonts w:ascii="黑体" w:hAnsi="黑体" w:eastAsia="黑体" w:cs="Helvetica"/>
          <w:b/>
          <w:bCs/>
          <w:color w:val="auto"/>
          <w:kern w:val="0"/>
          <w:sz w:val="32"/>
          <w:szCs w:val="32"/>
        </w:rPr>
      </w:pPr>
      <w:r>
        <w:rPr>
          <w:rFonts w:hint="eastAsia" w:ascii="黑体" w:hAnsi="黑体" w:eastAsia="黑体" w:cs="Helvetica"/>
          <w:b/>
          <w:bCs/>
          <w:color w:val="auto"/>
          <w:kern w:val="0"/>
          <w:sz w:val="32"/>
          <w:szCs w:val="32"/>
        </w:rPr>
        <w:t>十</w:t>
      </w:r>
      <w:r>
        <w:rPr>
          <w:rFonts w:ascii="黑体" w:hAnsi="黑体" w:eastAsia="黑体" w:cs="Helvetica"/>
          <w:b/>
          <w:bCs/>
          <w:color w:val="auto"/>
          <w:kern w:val="0"/>
          <w:sz w:val="32"/>
          <w:szCs w:val="32"/>
        </w:rPr>
        <w:t>、</w:t>
      </w:r>
      <w:r>
        <w:rPr>
          <w:rFonts w:hint="eastAsia" w:ascii="黑体" w:hAnsi="黑体" w:eastAsia="黑体" w:cs="Helvetica"/>
          <w:b/>
          <w:bCs/>
          <w:color w:val="auto"/>
          <w:kern w:val="0"/>
          <w:sz w:val="32"/>
          <w:szCs w:val="32"/>
        </w:rPr>
        <w:t>专业名词解释</w:t>
      </w:r>
    </w:p>
    <w:p>
      <w:pPr>
        <w:widowControl/>
        <w:spacing w:line="520" w:lineRule="exact"/>
        <w:ind w:firstLine="660"/>
        <w:rPr>
          <w:rFonts w:ascii="黑体" w:hAnsi="黑体" w:eastAsia="黑体" w:cs="Helvetica"/>
          <w:b/>
          <w:bCs/>
          <w:color w:val="auto"/>
          <w:kern w:val="0"/>
          <w:sz w:val="32"/>
          <w:szCs w:val="32"/>
        </w:rPr>
      </w:pPr>
      <w:r>
        <w:rPr>
          <w:rFonts w:hint="eastAsia" w:ascii="仿宋_GB2312" w:hAnsi="仿宋_GB2312" w:eastAsia="仿宋_GB2312" w:cs="仿宋_GB2312"/>
          <w:b/>
          <w:bCs/>
          <w:color w:val="auto"/>
          <w:kern w:val="0"/>
          <w:sz w:val="32"/>
          <w:szCs w:val="32"/>
        </w:rPr>
        <w:t>1．机关运行经费：</w:t>
      </w:r>
      <w:r>
        <w:rPr>
          <w:rFonts w:hint="eastAsia" w:ascii="仿宋_GB2312" w:hAnsi="仿宋_GB2312" w:eastAsia="仿宋_GB2312" w:cs="仿宋_GB2312"/>
          <w:bCs/>
          <w:color w:val="auto"/>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2．“三公”经费：</w:t>
      </w:r>
      <w:r>
        <w:rPr>
          <w:rFonts w:hint="eastAsia" w:ascii="仿宋_GB2312" w:hAnsi="仿宋_GB2312" w:eastAsia="仿宋_GB2312" w:cs="仿宋_GB2312"/>
          <w:bCs/>
          <w:color w:val="auto"/>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3．政府采购：</w:t>
      </w:r>
      <w:r>
        <w:rPr>
          <w:rFonts w:hint="eastAsia" w:ascii="仿宋_GB2312" w:hAnsi="仿宋_GB2312" w:eastAsia="仿宋_GB2312" w:cs="仿宋_GB2312"/>
          <w:bCs/>
          <w:color w:val="auto"/>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4．财政拨款（补助）收入：</w:t>
      </w:r>
      <w:r>
        <w:rPr>
          <w:rFonts w:hint="eastAsia" w:ascii="仿宋_GB2312" w:hAnsi="仿宋_GB2312" w:eastAsia="仿宋_GB2312" w:cs="仿宋_GB2312"/>
          <w:bCs/>
          <w:color w:val="auto"/>
          <w:kern w:val="0"/>
          <w:sz w:val="32"/>
          <w:szCs w:val="32"/>
        </w:rPr>
        <w:t>指从同级财政部门取得的财政预算资金。</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5．其他收入：</w:t>
      </w:r>
      <w:r>
        <w:rPr>
          <w:rFonts w:hint="eastAsia" w:ascii="仿宋_GB2312" w:hAnsi="仿宋_GB2312" w:eastAsia="仿宋_GB2312" w:cs="仿宋_GB2312"/>
          <w:bCs/>
          <w:color w:val="auto"/>
          <w:kern w:val="0"/>
          <w:sz w:val="32"/>
          <w:szCs w:val="32"/>
        </w:rPr>
        <w:t>指除上述“财政拨款收入”以外任务相应安排的资金。</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6．基本支出：</w:t>
      </w:r>
      <w:r>
        <w:rPr>
          <w:rFonts w:hint="eastAsia" w:ascii="仿宋_GB2312" w:hAnsi="仿宋_GB2312" w:eastAsia="仿宋_GB2312" w:cs="仿宋_GB2312"/>
          <w:bCs/>
          <w:color w:val="auto"/>
          <w:kern w:val="0"/>
          <w:sz w:val="32"/>
          <w:szCs w:val="32"/>
        </w:rPr>
        <w:t>指为保障机构正常运转、完成日常工作任务而发生的人员支出和公用支出。</w:t>
      </w:r>
    </w:p>
    <w:p>
      <w:pPr>
        <w:widowControl/>
        <w:spacing w:line="560" w:lineRule="exac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7．项目支出：</w:t>
      </w:r>
      <w:r>
        <w:rPr>
          <w:rFonts w:hint="eastAsia" w:ascii="仿宋_GB2312" w:hAnsi="仿宋_GB2312" w:eastAsia="仿宋_GB2312" w:cs="仿宋_GB2312"/>
          <w:bCs/>
          <w:color w:val="auto"/>
          <w:kern w:val="0"/>
          <w:sz w:val="32"/>
          <w:szCs w:val="32"/>
        </w:rPr>
        <w:t>指在基本支出之外为完成特定行政任务和事业发展目标所发生的支出。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NiMmQxN2VkMDZmMzgyYzc5ZGRkYzljYWNiYWM4ZjgifQ=="/>
  </w:docVars>
  <w:rsids>
    <w:rsidRoot w:val="005C7B57"/>
    <w:rsid w:val="00045597"/>
    <w:rsid w:val="001D5535"/>
    <w:rsid w:val="00264D69"/>
    <w:rsid w:val="002A2552"/>
    <w:rsid w:val="002E009E"/>
    <w:rsid w:val="004330E7"/>
    <w:rsid w:val="004E4107"/>
    <w:rsid w:val="0052625E"/>
    <w:rsid w:val="00563665"/>
    <w:rsid w:val="00577B8B"/>
    <w:rsid w:val="00585EAF"/>
    <w:rsid w:val="005C7B57"/>
    <w:rsid w:val="00675D38"/>
    <w:rsid w:val="006D7126"/>
    <w:rsid w:val="008C3DAB"/>
    <w:rsid w:val="00910443"/>
    <w:rsid w:val="00A40C66"/>
    <w:rsid w:val="00A502CA"/>
    <w:rsid w:val="00AA06B6"/>
    <w:rsid w:val="00AA2F96"/>
    <w:rsid w:val="00B208AA"/>
    <w:rsid w:val="00B603D1"/>
    <w:rsid w:val="00CE50E0"/>
    <w:rsid w:val="00CF2710"/>
    <w:rsid w:val="00D14742"/>
    <w:rsid w:val="00D868C2"/>
    <w:rsid w:val="00DA7539"/>
    <w:rsid w:val="00DC7B48"/>
    <w:rsid w:val="00E4590A"/>
    <w:rsid w:val="00FE5380"/>
    <w:rsid w:val="07A35CBC"/>
    <w:rsid w:val="37FD12C5"/>
    <w:rsid w:val="3FDF789F"/>
    <w:rsid w:val="432118EB"/>
    <w:rsid w:val="4A325785"/>
    <w:rsid w:val="55B0074C"/>
    <w:rsid w:val="56EFC819"/>
    <w:rsid w:val="5BB3382B"/>
    <w:rsid w:val="73A93682"/>
    <w:rsid w:val="76EB7264"/>
    <w:rsid w:val="F676C55B"/>
    <w:rsid w:val="FBFFE8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44444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2388</Words>
  <Characters>2561</Characters>
  <Lines>18</Lines>
  <Paragraphs>5</Paragraphs>
  <TotalTime>0</TotalTime>
  <ScaleCrop>false</ScaleCrop>
  <LinksUpToDate>false</LinksUpToDate>
  <CharactersWithSpaces>2602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2023-02-14T00:31:00Z</dcterms:created>
  <dc:creator>曹群豪(拟稿)</dc:creator>
  <cp:lastModifiedBy>Administrator</cp:lastModifiedBy>
  <cp:lastPrinted>2022-02-23T02:20:00Z</cp:lastPrinted>
  <dcterms:modified xsi:type="dcterms:W3CDTF">2023-02-21T07:05:14Z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FEE0BBE259BA4178B012B4A06CFD1EEA</vt:lpwstr>
  </property>
</Properties>
</file>