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kern w:val="0"/>
          <w:sz w:val="45"/>
          <w:szCs w:val="45"/>
        </w:rPr>
      </w:pPr>
    </w:p>
    <w:p>
      <w:pPr>
        <w:widowControl/>
        <w:outlineLvl w:val="1"/>
        <w:rPr>
          <w:rFonts w:hint="eastAsia" w:ascii="inherit" w:hAnsi="inherit" w:eastAsia="微软雅黑" w:cs="Helvetica"/>
          <w:kern w:val="0"/>
          <w:sz w:val="45"/>
          <w:szCs w:val="45"/>
        </w:rPr>
      </w:pPr>
    </w:p>
    <w:p>
      <w:pPr>
        <w:widowControl/>
        <w:jc w:val="center"/>
        <w:outlineLvl w:val="1"/>
        <w:rPr>
          <w:rFonts w:ascii="黑体" w:hAnsi="黑体" w:eastAsia="黑体" w:cs="Helvetica"/>
          <w:kern w:val="0"/>
          <w:sz w:val="44"/>
          <w:szCs w:val="44"/>
        </w:rPr>
      </w:pPr>
      <w:r>
        <w:rPr>
          <w:rFonts w:hint="eastAsia" w:ascii="黑体" w:hAnsi="黑体" w:eastAsia="黑体" w:cs="Helvetica"/>
          <w:kern w:val="0"/>
          <w:sz w:val="44"/>
          <w:szCs w:val="44"/>
        </w:rPr>
        <w:t>湖北</w:t>
      </w:r>
      <w:r>
        <w:rPr>
          <w:rFonts w:ascii="黑体" w:hAnsi="黑体" w:eastAsia="黑体" w:cs="Helvetica"/>
          <w:kern w:val="0"/>
          <w:sz w:val="44"/>
          <w:szCs w:val="44"/>
        </w:rPr>
        <w:t>省统计局</w:t>
      </w:r>
      <w:r>
        <w:rPr>
          <w:rFonts w:hint="eastAsia" w:ascii="黑体" w:hAnsi="黑体" w:eastAsia="黑体" w:cs="Helvetica"/>
          <w:kern w:val="0"/>
          <w:sz w:val="44"/>
          <w:szCs w:val="44"/>
        </w:rPr>
        <w:t>宜城经济社会调查队2023</w:t>
      </w:r>
    </w:p>
    <w:p>
      <w:pPr>
        <w:widowControl/>
        <w:jc w:val="center"/>
        <w:outlineLvl w:val="1"/>
        <w:rPr>
          <w:rFonts w:ascii="黑体" w:hAnsi="黑体" w:eastAsia="黑体" w:cs="Helvetica"/>
          <w:kern w:val="0"/>
          <w:sz w:val="44"/>
          <w:szCs w:val="44"/>
        </w:rPr>
      </w:pPr>
      <w:r>
        <w:rPr>
          <w:rFonts w:hint="eastAsia" w:ascii="黑体" w:hAnsi="黑体" w:eastAsia="黑体" w:cs="Helvetica"/>
          <w:kern w:val="0"/>
          <w:sz w:val="44"/>
          <w:szCs w:val="44"/>
        </w:rPr>
        <w:t>年单位预算公开情况</w:t>
      </w:r>
      <w:r>
        <w:rPr>
          <w:rFonts w:ascii="黑体" w:hAnsi="黑体" w:eastAsia="黑体" w:cs="Helvetica"/>
          <w:kern w:val="0"/>
          <w:sz w:val="44"/>
          <w:szCs w:val="44"/>
        </w:rPr>
        <w:t>说明</w:t>
      </w:r>
    </w:p>
    <w:p>
      <w:pPr>
        <w:widowControl/>
        <w:rPr>
          <w:rFonts w:cs="Helvetica" w:asciiTheme="minorEastAsia" w:hAnsiTheme="minorEastAsia"/>
          <w:kern w:val="0"/>
          <w:sz w:val="24"/>
          <w:szCs w:val="24"/>
        </w:rPr>
      </w:pPr>
      <w:r>
        <w:rPr>
          <w:rFonts w:hint="eastAsia" w:ascii="微软雅黑" w:hAnsi="微软雅黑" w:eastAsia="微软雅黑" w:cs="Helvetica"/>
          <w:kern w:val="0"/>
          <w:szCs w:val="21"/>
        </w:rPr>
        <w:t xml:space="preserve">　　                         </w:t>
      </w:r>
      <w:r>
        <w:rPr>
          <w:rFonts w:hint="eastAsia" w:cs="Helvetica" w:asciiTheme="minorEastAsia" w:hAnsiTheme="minorEastAsia"/>
          <w:kern w:val="0"/>
          <w:sz w:val="24"/>
          <w:szCs w:val="24"/>
        </w:rPr>
        <w:t xml:space="preserve"> </w:t>
      </w:r>
      <w:r>
        <w:rPr>
          <w:rFonts w:cs="Helvetica" w:asciiTheme="minorEastAsia" w:hAnsiTheme="minorEastAsia"/>
          <w:kern w:val="0"/>
          <w:sz w:val="24"/>
          <w:szCs w:val="24"/>
        </w:rPr>
        <w:t xml:space="preserve">   </w:t>
      </w:r>
      <w:r>
        <w:rPr>
          <w:rFonts w:hint="eastAsia" w:cs="Helvetica" w:asciiTheme="minorEastAsia" w:hAnsiTheme="minorEastAsia"/>
          <w:kern w:val="0"/>
          <w:sz w:val="24"/>
          <w:szCs w:val="24"/>
        </w:rPr>
        <w:t xml:space="preserve"> </w:t>
      </w:r>
    </w:p>
    <w:p>
      <w:pPr>
        <w:widowControl/>
        <w:jc w:val="left"/>
        <w:rPr>
          <w:rFonts w:cs="Helvetica" w:asciiTheme="minorEastAsia" w:hAnsiTheme="minorEastAsia"/>
          <w:kern w:val="0"/>
          <w:sz w:val="24"/>
          <w:szCs w:val="24"/>
        </w:rPr>
      </w:pP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一</w:t>
      </w:r>
      <w:r>
        <w:rPr>
          <w:rFonts w:ascii="仿宋" w:hAnsi="仿宋" w:eastAsia="仿宋" w:cs="Helvetica"/>
          <w:b/>
          <w:kern w:val="0"/>
          <w:sz w:val="32"/>
          <w:szCs w:val="32"/>
        </w:rPr>
        <w:t>、</w:t>
      </w:r>
      <w:r>
        <w:rPr>
          <w:rFonts w:hint="eastAsia" w:ascii="仿宋" w:hAnsi="仿宋" w:eastAsia="仿宋" w:cs="Helvetica"/>
          <w:b/>
          <w:kern w:val="0"/>
          <w:sz w:val="32"/>
          <w:szCs w:val="32"/>
        </w:rPr>
        <w:t>单位主要职责</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二、机构设置情况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三、预算收支及增减变化情况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四、机关运行经费情况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五、一般公共预算“三公”经费及增减变化情况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六</w:t>
      </w:r>
      <w:r>
        <w:rPr>
          <w:rFonts w:ascii="仿宋" w:hAnsi="仿宋" w:eastAsia="仿宋" w:cs="Helvetica"/>
          <w:b/>
          <w:kern w:val="0"/>
          <w:sz w:val="32"/>
          <w:szCs w:val="32"/>
        </w:rPr>
        <w:t>、</w:t>
      </w:r>
      <w:r>
        <w:rPr>
          <w:rFonts w:hint="eastAsia" w:ascii="仿宋" w:hAnsi="仿宋" w:eastAsia="仿宋" w:cs="Helvetica"/>
          <w:b/>
          <w:kern w:val="0"/>
          <w:sz w:val="32"/>
          <w:szCs w:val="32"/>
        </w:rPr>
        <w:t>政府采购预算安排情况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七、国有资产占用情况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八、重点项目预算绩效情况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九、其他需要说明的情况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十</w:t>
      </w:r>
      <w:r>
        <w:rPr>
          <w:rFonts w:ascii="仿宋" w:hAnsi="仿宋" w:eastAsia="仿宋" w:cs="Helvetica"/>
          <w:b/>
          <w:kern w:val="0"/>
          <w:sz w:val="32"/>
          <w:szCs w:val="32"/>
        </w:rPr>
        <w:t>、</w:t>
      </w:r>
      <w:r>
        <w:rPr>
          <w:rFonts w:hint="eastAsia" w:ascii="仿宋" w:hAnsi="仿宋" w:eastAsia="仿宋" w:cs="Helvetica"/>
          <w:b/>
          <w:bCs/>
          <w:kern w:val="0"/>
          <w:sz w:val="32"/>
          <w:szCs w:val="32"/>
        </w:rPr>
        <w:t>专业</w:t>
      </w:r>
      <w:r>
        <w:rPr>
          <w:rFonts w:hint="eastAsia" w:ascii="仿宋" w:hAnsi="仿宋" w:eastAsia="仿宋" w:cs="Helvetica"/>
          <w:b/>
          <w:kern w:val="0"/>
          <w:sz w:val="32"/>
          <w:szCs w:val="32"/>
        </w:rPr>
        <w:t>名词解释</w:t>
      </w:r>
    </w:p>
    <w:p>
      <w:pPr>
        <w:widowControl/>
        <w:rPr>
          <w:rFonts w:cs="Helvetica" w:asciiTheme="majorEastAsia" w:hAnsiTheme="majorEastAsia" w:eastAsiaTheme="majorEastAsia"/>
          <w:b/>
          <w:kern w:val="0"/>
          <w:sz w:val="24"/>
          <w:szCs w:val="24"/>
        </w:rPr>
      </w:pPr>
      <w:r>
        <w:rPr>
          <w:rFonts w:hint="eastAsia" w:cs="Helvetica" w:asciiTheme="majorEastAsia" w:hAnsiTheme="majorEastAsia" w:eastAsiaTheme="majorEastAsia"/>
          <w:b/>
          <w:kern w:val="0"/>
          <w:sz w:val="24"/>
          <w:szCs w:val="24"/>
        </w:rPr>
        <w:t>　　</w:t>
      </w:r>
    </w:p>
    <w:p>
      <w:pPr>
        <w:widowControl/>
        <w:ind w:firstLine="361" w:firstLineChars="150"/>
        <w:rPr>
          <w:rFonts w:cs="Helvetica" w:asciiTheme="minorEastAsia" w:hAnsiTheme="minorEastAsia"/>
          <w:b/>
          <w:kern w:val="0"/>
          <w:sz w:val="24"/>
          <w:szCs w:val="24"/>
        </w:rPr>
      </w:pPr>
      <w:r>
        <w:rPr>
          <w:rFonts w:hint="eastAsia" w:cs="Helvetica" w:asciiTheme="minorEastAsia" w:hAnsiTheme="minorEastAsia"/>
          <w:b/>
          <w:kern w:val="0"/>
          <w:sz w:val="24"/>
          <w:szCs w:val="24"/>
        </w:rPr>
        <w:t xml:space="preserve"> </w:t>
      </w: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cs="Helvetica" w:asciiTheme="minorEastAsia" w:hAnsiTheme="minorEastAsia"/>
          <w:b/>
          <w:kern w:val="0"/>
          <w:sz w:val="24"/>
          <w:szCs w:val="24"/>
        </w:rPr>
      </w:pPr>
    </w:p>
    <w:p>
      <w:pPr>
        <w:widowControl/>
        <w:ind w:firstLine="361" w:firstLineChars="150"/>
        <w:rPr>
          <w:rFonts w:cs="Helvetica" w:asciiTheme="minorEastAsia" w:hAnsiTheme="minorEastAsia"/>
          <w:b/>
          <w:kern w:val="0"/>
          <w:sz w:val="24"/>
          <w:szCs w:val="24"/>
        </w:rPr>
      </w:pP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统计数据质量监测和核查；组织实施统计调查和监测工作；参与统计执法相关工作；参与大型国情国力调查等重大统计工作；协助地方统计局开展相关工作；完成省统计局、省统计局调查监测中心和省统计局襄阳调查监测分局交办的其他工作。</w:t>
      </w:r>
    </w:p>
    <w:p>
      <w:pPr>
        <w:widowControl/>
        <w:shd w:val="clear" w:color="auto" w:fill="FFFFFF"/>
        <w:ind w:firstLine="640" w:firstLineChars="200"/>
        <w:jc w:val="left"/>
        <w:rPr>
          <w:rFonts w:ascii="仿宋" w:hAnsi="仿宋" w:eastAsia="仿宋" w:cs="Arial"/>
          <w:kern w:val="0"/>
          <w:sz w:val="32"/>
          <w:szCs w:val="32"/>
        </w:rPr>
      </w:pPr>
      <w:r>
        <w:rPr>
          <w:rFonts w:hint="eastAsia" w:ascii="黑体" w:hAnsi="黑体" w:eastAsia="黑体" w:cs="黑体"/>
          <w:kern w:val="0"/>
          <w:sz w:val="32"/>
          <w:szCs w:val="32"/>
        </w:rPr>
        <w:t>二、机构设置情况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我单位设2个内设机构：调查监测一科、调查监测二科。</w:t>
      </w:r>
    </w:p>
    <w:p>
      <w:pPr>
        <w:ind w:firstLine="643" w:firstLineChars="200"/>
        <w:rPr>
          <w:rFonts w:ascii="楷体" w:hAnsi="楷体" w:eastAsia="楷体" w:cs="Helvetica"/>
          <w:bCs/>
          <w:kern w:val="0"/>
          <w:sz w:val="32"/>
          <w:szCs w:val="32"/>
        </w:rPr>
      </w:pPr>
      <w:r>
        <w:rPr>
          <w:rFonts w:hint="eastAsia" w:ascii="楷体" w:hAnsi="楷体" w:eastAsia="楷体" w:cs="Helvetica"/>
          <w:b/>
          <w:bCs/>
          <w:kern w:val="0"/>
          <w:sz w:val="32"/>
          <w:szCs w:val="32"/>
        </w:rPr>
        <w:t>（一）调查监测一科的主要职责是:</w:t>
      </w:r>
      <w:r>
        <w:rPr>
          <w:rFonts w:hint="eastAsia" w:ascii="仿宋_GB2312" w:hAnsi="仿宋_GB2312" w:eastAsia="仿宋_GB2312" w:cs="仿宋_GB2312"/>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省统计局调查监测中心和省统计局襄阳调查监测分局交办的其他工作。</w:t>
      </w:r>
    </w:p>
    <w:p>
      <w:pPr>
        <w:ind w:firstLine="643" w:firstLineChars="200"/>
        <w:rPr>
          <w:rFonts w:ascii="楷体" w:hAnsi="楷体" w:eastAsia="楷体" w:cs="Helvetica"/>
          <w:bCs/>
          <w:kern w:val="0"/>
          <w:sz w:val="32"/>
          <w:szCs w:val="32"/>
        </w:rPr>
      </w:pPr>
      <w:r>
        <w:rPr>
          <w:rFonts w:hint="eastAsia" w:ascii="楷体" w:hAnsi="楷体" w:eastAsia="楷体" w:cs="Helvetica"/>
          <w:b/>
          <w:bCs/>
          <w:kern w:val="0"/>
          <w:sz w:val="32"/>
          <w:szCs w:val="32"/>
        </w:rPr>
        <w:t>（二）调查监测二科的主要职责是:</w:t>
      </w:r>
      <w:r>
        <w:rPr>
          <w:rFonts w:hint="eastAsia" w:ascii="仿宋_GB2312" w:hAnsi="仿宋_GB2312" w:eastAsia="仿宋_GB2312" w:cs="仿宋_GB2312"/>
          <w:sz w:val="32"/>
          <w:szCs w:val="32"/>
        </w:rPr>
        <w:t>负责统计数据质量监测和核查；开展相关统计调查和监测工作；开展统计执法相关工作；参与大型国情国力调查等重大统计工作；协助地方统计局开展相关工作；完成省统计局、省统计局调查监测中心和省统计局襄阳调查监测分局交办的其他工作。</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ind w:firstLine="643" w:firstLineChars="200"/>
        <w:rPr>
          <w:rFonts w:ascii="仿宋" w:hAnsi="仿宋" w:eastAsia="仿宋" w:cs="仿宋_GB2312"/>
          <w:bCs/>
          <w:kern w:val="0"/>
          <w:sz w:val="32"/>
          <w:szCs w:val="32"/>
        </w:rPr>
      </w:pPr>
      <w:r>
        <w:rPr>
          <w:rFonts w:ascii="楷体" w:hAnsi="楷体" w:eastAsia="楷体" w:cs="Helvetica"/>
          <w:b/>
          <w:bCs/>
          <w:kern w:val="0"/>
          <w:sz w:val="32"/>
          <w:szCs w:val="32"/>
        </w:rPr>
        <w:t>1.</w:t>
      </w:r>
      <w:r>
        <w:rPr>
          <w:rFonts w:hint="eastAsia" w:ascii="楷体" w:hAnsi="楷体" w:eastAsia="楷体" w:cs="Helvetica"/>
          <w:b/>
          <w:bCs/>
          <w:kern w:val="0"/>
          <w:sz w:val="32"/>
          <w:szCs w:val="32"/>
        </w:rPr>
        <w:t>预算收入情况:</w:t>
      </w:r>
      <w:r>
        <w:rPr>
          <w:rFonts w:hint="eastAsia" w:ascii="仿宋" w:hAnsi="仿宋" w:eastAsia="仿宋" w:cs="仿宋_GB2312"/>
          <w:bCs/>
          <w:kern w:val="0"/>
          <w:sz w:val="32"/>
          <w:szCs w:val="32"/>
        </w:rPr>
        <w:t>2023年本年</w:t>
      </w:r>
      <w:r>
        <w:rPr>
          <w:rFonts w:ascii="仿宋" w:hAnsi="仿宋" w:eastAsia="仿宋" w:cs="仿宋_GB2312"/>
          <w:bCs/>
          <w:kern w:val="0"/>
          <w:sz w:val="32"/>
          <w:szCs w:val="32"/>
        </w:rPr>
        <w:t>收入</w:t>
      </w:r>
      <w:r>
        <w:rPr>
          <w:rFonts w:hint="eastAsia" w:ascii="仿宋" w:hAnsi="仿宋" w:eastAsia="仿宋" w:cs="仿宋_GB2312"/>
          <w:bCs/>
          <w:kern w:val="0"/>
          <w:sz w:val="32"/>
          <w:szCs w:val="32"/>
        </w:rPr>
        <w:t>为123.72万元，比上年增加12.32万</w:t>
      </w:r>
      <w:r>
        <w:rPr>
          <w:rFonts w:ascii="仿宋" w:hAnsi="仿宋" w:eastAsia="仿宋" w:cs="仿宋_GB2312"/>
          <w:bCs/>
          <w:kern w:val="0"/>
          <w:sz w:val="32"/>
          <w:szCs w:val="32"/>
        </w:rPr>
        <w:t>元，</w:t>
      </w:r>
      <w:r>
        <w:rPr>
          <w:rFonts w:hint="eastAsia" w:ascii="仿宋" w:hAnsi="仿宋" w:eastAsia="仿宋" w:cs="仿宋_GB2312"/>
          <w:bCs/>
          <w:kern w:val="0"/>
          <w:sz w:val="32"/>
          <w:szCs w:val="32"/>
        </w:rPr>
        <w:t>增长11.06</w:t>
      </w:r>
      <w:r>
        <w:rPr>
          <w:rFonts w:ascii="仿宋" w:hAnsi="仿宋" w:eastAsia="仿宋" w:cs="仿宋_GB2312"/>
          <w:bCs/>
          <w:kern w:val="0"/>
          <w:sz w:val="32"/>
          <w:szCs w:val="32"/>
        </w:rPr>
        <w:t>%</w:t>
      </w:r>
      <w:r>
        <w:rPr>
          <w:rFonts w:hint="eastAsia" w:ascii="仿宋" w:hAnsi="仿宋" w:eastAsia="仿宋" w:cs="仿宋_GB2312"/>
          <w:bCs/>
          <w:kern w:val="0"/>
          <w:sz w:val="32"/>
          <w:szCs w:val="32"/>
        </w:rPr>
        <w:t>。其中，经费拨款123.72万元，占本年收入的</w:t>
      </w:r>
      <w:r>
        <w:rPr>
          <w:rFonts w:ascii="仿宋" w:hAnsi="仿宋" w:eastAsia="仿宋" w:cs="仿宋_GB2312"/>
          <w:bCs/>
          <w:kern w:val="0"/>
          <w:sz w:val="32"/>
          <w:szCs w:val="32"/>
        </w:rPr>
        <w:t>100</w:t>
      </w:r>
      <w:r>
        <w:rPr>
          <w:rFonts w:hint="eastAsia" w:ascii="仿宋" w:hAnsi="仿宋" w:eastAsia="仿宋" w:cs="仿宋_GB2312"/>
          <w:bCs/>
          <w:kern w:val="0"/>
          <w:sz w:val="32"/>
          <w:szCs w:val="32"/>
        </w:rPr>
        <w:t>%，无上</w:t>
      </w:r>
      <w:r>
        <w:rPr>
          <w:rFonts w:ascii="仿宋" w:hAnsi="仿宋" w:eastAsia="仿宋" w:cs="仿宋_GB2312"/>
          <w:bCs/>
          <w:kern w:val="0"/>
          <w:sz w:val="32"/>
          <w:szCs w:val="32"/>
        </w:rPr>
        <w:t>年结转经费和其他收入预算。</w:t>
      </w:r>
    </w:p>
    <w:p>
      <w:pPr>
        <w:widowControl/>
        <w:ind w:firstLine="640" w:firstLineChars="200"/>
        <w:rPr>
          <w:rFonts w:ascii="楷体" w:hAnsi="楷体" w:eastAsia="楷体" w:cs="Helvetica"/>
          <w:b/>
          <w:bCs/>
          <w:kern w:val="0"/>
          <w:sz w:val="32"/>
          <w:szCs w:val="32"/>
        </w:rPr>
      </w:pPr>
      <w:r>
        <w:rPr>
          <w:rFonts w:hint="eastAsia" w:ascii="仿宋_GB2312" w:eastAsia="仿宋_GB2312"/>
          <w:sz w:val="32"/>
        </w:rPr>
        <w:t>收入增加原因：经费拨款增加</w:t>
      </w:r>
      <w:r>
        <w:rPr>
          <w:rFonts w:hint="eastAsia" w:ascii="仿宋" w:hAnsi="仿宋" w:eastAsia="仿宋" w:cs="仿宋_GB2312"/>
          <w:bCs/>
          <w:kern w:val="0"/>
          <w:sz w:val="32"/>
          <w:szCs w:val="32"/>
        </w:rPr>
        <w:t>12.32</w:t>
      </w:r>
      <w:r>
        <w:rPr>
          <w:rFonts w:hint="eastAsia" w:ascii="仿宋_GB2312" w:eastAsia="仿宋_GB2312"/>
          <w:sz w:val="32"/>
        </w:rPr>
        <w:t>万元。</w:t>
      </w:r>
    </w:p>
    <w:p>
      <w:pPr>
        <w:widowControl/>
        <w:ind w:firstLine="643" w:firstLineChars="200"/>
        <w:rPr>
          <w:rFonts w:ascii="仿宋" w:hAnsi="仿宋" w:eastAsia="仿宋" w:cs="仿宋_GB2312"/>
          <w:bCs/>
          <w:kern w:val="0"/>
          <w:sz w:val="32"/>
          <w:szCs w:val="32"/>
        </w:rPr>
      </w:pPr>
      <w:r>
        <w:rPr>
          <w:rFonts w:hint="eastAsia" w:ascii="楷体" w:hAnsi="楷体" w:eastAsia="楷体" w:cs="Helvetica"/>
          <w:b/>
          <w:bCs/>
          <w:kern w:val="0"/>
          <w:sz w:val="32"/>
          <w:szCs w:val="32"/>
        </w:rPr>
        <w:t>2</w:t>
      </w:r>
      <w:r>
        <w:rPr>
          <w:rFonts w:ascii="楷体" w:hAnsi="楷体" w:eastAsia="楷体" w:cs="Helvetica"/>
          <w:b/>
          <w:bCs/>
          <w:kern w:val="0"/>
          <w:sz w:val="32"/>
          <w:szCs w:val="32"/>
        </w:rPr>
        <w:t>.</w:t>
      </w:r>
      <w:r>
        <w:rPr>
          <w:rFonts w:hint="eastAsia" w:ascii="楷体" w:hAnsi="楷体" w:eastAsia="楷体" w:cs="Helvetica"/>
          <w:b/>
          <w:bCs/>
          <w:kern w:val="0"/>
          <w:sz w:val="32"/>
          <w:szCs w:val="32"/>
        </w:rPr>
        <w:t>预算支</w:t>
      </w:r>
      <w:r>
        <w:rPr>
          <w:rFonts w:ascii="楷体" w:hAnsi="楷体" w:eastAsia="楷体" w:cs="Helvetica"/>
          <w:b/>
          <w:bCs/>
          <w:kern w:val="0"/>
          <w:sz w:val="32"/>
          <w:szCs w:val="32"/>
        </w:rPr>
        <w:t>出</w:t>
      </w:r>
      <w:r>
        <w:rPr>
          <w:rFonts w:hint="eastAsia" w:ascii="楷体" w:hAnsi="楷体" w:eastAsia="楷体" w:cs="Helvetica"/>
          <w:b/>
          <w:bCs/>
          <w:kern w:val="0"/>
          <w:sz w:val="32"/>
          <w:szCs w:val="32"/>
        </w:rPr>
        <w:t>情况：</w:t>
      </w:r>
      <w:r>
        <w:rPr>
          <w:rFonts w:hint="eastAsia" w:ascii="仿宋" w:hAnsi="仿宋" w:eastAsia="仿宋" w:cs="仿宋_GB2312"/>
          <w:bCs/>
          <w:kern w:val="0"/>
          <w:sz w:val="32"/>
          <w:szCs w:val="32"/>
        </w:rPr>
        <w:t>2023年本年支出123.72万元,比上年</w:t>
      </w:r>
      <w:r>
        <w:rPr>
          <w:rFonts w:ascii="仿宋" w:hAnsi="仿宋" w:eastAsia="仿宋" w:cs="仿宋_GB2312"/>
          <w:bCs/>
          <w:kern w:val="0"/>
          <w:sz w:val="32"/>
          <w:szCs w:val="32"/>
        </w:rPr>
        <w:t>增加</w:t>
      </w:r>
      <w:r>
        <w:rPr>
          <w:rFonts w:hint="eastAsia" w:ascii="仿宋" w:hAnsi="仿宋" w:eastAsia="仿宋" w:cs="仿宋_GB2312"/>
          <w:bCs/>
          <w:kern w:val="0"/>
          <w:sz w:val="32"/>
          <w:szCs w:val="32"/>
        </w:rPr>
        <w:t>12.32万</w:t>
      </w:r>
      <w:r>
        <w:rPr>
          <w:rFonts w:ascii="仿宋" w:hAnsi="仿宋" w:eastAsia="仿宋" w:cs="仿宋_GB2312"/>
          <w:bCs/>
          <w:kern w:val="0"/>
          <w:sz w:val="32"/>
          <w:szCs w:val="32"/>
        </w:rPr>
        <w:t>元，</w:t>
      </w:r>
      <w:r>
        <w:rPr>
          <w:rFonts w:hint="eastAsia" w:ascii="仿宋" w:hAnsi="仿宋" w:eastAsia="仿宋" w:cs="仿宋_GB2312"/>
          <w:bCs/>
          <w:kern w:val="0"/>
          <w:sz w:val="32"/>
          <w:szCs w:val="32"/>
        </w:rPr>
        <w:t>增长11.06</w:t>
      </w:r>
      <w:r>
        <w:rPr>
          <w:rFonts w:ascii="仿宋" w:hAnsi="仿宋" w:eastAsia="仿宋" w:cs="仿宋_GB2312"/>
          <w:bCs/>
          <w:kern w:val="0"/>
          <w:sz w:val="32"/>
          <w:szCs w:val="32"/>
        </w:rPr>
        <w:t>%</w:t>
      </w:r>
      <w:r>
        <w:rPr>
          <w:rFonts w:hint="eastAsia" w:ascii="仿宋" w:hAnsi="仿宋" w:eastAsia="仿宋" w:cs="仿宋_GB2312"/>
          <w:bCs/>
          <w:kern w:val="0"/>
          <w:sz w:val="32"/>
          <w:szCs w:val="32"/>
        </w:rPr>
        <w:t>。其中，基本支出111.72</w:t>
      </w:r>
    </w:p>
    <w:p>
      <w:pPr>
        <w:widowControl/>
        <w:rPr>
          <w:rFonts w:ascii="楷体" w:hAnsi="楷体" w:eastAsia="楷体" w:cs="Helvetica"/>
          <w:b/>
          <w:bCs/>
          <w:kern w:val="0"/>
          <w:sz w:val="32"/>
          <w:szCs w:val="32"/>
        </w:rPr>
      </w:pPr>
      <w:r>
        <w:rPr>
          <w:rFonts w:hint="eastAsia" w:ascii="仿宋" w:hAnsi="仿宋" w:eastAsia="仿宋" w:cs="仿宋_GB2312"/>
          <w:bCs/>
          <w:kern w:val="0"/>
          <w:sz w:val="32"/>
          <w:szCs w:val="32"/>
        </w:rPr>
        <w:t>万元，占总支出的90.3%；项目支出12万元，占总支出的9.7%。本年支出构成为：一般公共服务支出97.98万元，占本年支出79.19%；社会保障和就业支出15.62万元，占本年支出12.63%；住房保障支出10.12万元，占本年支出8.18</w:t>
      </w:r>
      <w:r>
        <w:rPr>
          <w:rFonts w:ascii="仿宋" w:hAnsi="仿宋" w:eastAsia="仿宋" w:cs="仿宋_GB2312"/>
          <w:bCs/>
          <w:kern w:val="0"/>
          <w:sz w:val="32"/>
          <w:szCs w:val="32"/>
        </w:rPr>
        <w:t>%</w:t>
      </w:r>
      <w:r>
        <w:rPr>
          <w:rFonts w:hint="eastAsia" w:ascii="仿宋" w:hAnsi="仿宋" w:eastAsia="仿宋" w:cs="仿宋_GB2312"/>
          <w:bCs/>
          <w:kern w:val="0"/>
          <w:sz w:val="32"/>
          <w:szCs w:val="32"/>
        </w:rPr>
        <w:t>。</w:t>
      </w:r>
    </w:p>
    <w:p>
      <w:pPr>
        <w:pStyle w:val="5"/>
        <w:widowControl/>
        <w:spacing w:before="0" w:beforeAutospacing="0" w:after="0" w:afterAutospacing="0"/>
        <w:ind w:firstLine="640" w:firstLineChars="200"/>
        <w:jc w:val="both"/>
        <w:rPr>
          <w:rFonts w:ascii="仿宋_GB2312" w:eastAsia="仿宋_GB2312" w:cstheme="minorBidi"/>
          <w:kern w:val="2"/>
          <w:sz w:val="32"/>
        </w:rPr>
      </w:pPr>
      <w:r>
        <w:rPr>
          <w:rFonts w:hint="eastAsia" w:ascii="仿宋_GB2312" w:eastAsia="仿宋_GB2312" w:cstheme="minorBidi"/>
          <w:kern w:val="2"/>
          <w:sz w:val="32"/>
        </w:rPr>
        <w:t>支出增加原因：（1）2023年基本支出比上年增加</w:t>
      </w:r>
      <w:r>
        <w:rPr>
          <w:rFonts w:hint="eastAsia" w:ascii="仿宋" w:hAnsi="仿宋" w:eastAsia="仿宋" w:cs="仿宋_GB2312"/>
          <w:bCs/>
          <w:sz w:val="32"/>
          <w:szCs w:val="32"/>
        </w:rPr>
        <w:t>8.32</w:t>
      </w:r>
      <w:r>
        <w:rPr>
          <w:rFonts w:hint="eastAsia" w:ascii="仿宋_GB2312" w:eastAsia="仿宋_GB2312" w:cstheme="minorBidi"/>
          <w:kern w:val="2"/>
          <w:sz w:val="32"/>
        </w:rPr>
        <w:t>万元，主要是基本工资</w:t>
      </w:r>
      <w:r>
        <w:rPr>
          <w:rFonts w:ascii="仿宋_GB2312" w:eastAsia="仿宋_GB2312" w:cstheme="minorBidi"/>
          <w:kern w:val="2"/>
          <w:sz w:val="32"/>
        </w:rPr>
        <w:t>调标与绩效</w:t>
      </w:r>
      <w:r>
        <w:rPr>
          <w:rFonts w:hint="eastAsia" w:ascii="仿宋_GB2312" w:eastAsia="仿宋_GB2312" w:cstheme="minorBidi"/>
          <w:kern w:val="2"/>
          <w:sz w:val="32"/>
        </w:rPr>
        <w:t>的支出增加</w:t>
      </w:r>
      <w:r>
        <w:rPr>
          <w:rFonts w:hint="eastAsia" w:ascii="仿宋_GB2312" w:eastAsia="仿宋_GB2312" w:cstheme="minorBidi"/>
          <w:kern w:val="2"/>
          <w:sz w:val="32"/>
          <w:lang w:eastAsia="zh-CN"/>
        </w:rPr>
        <w:t>；</w:t>
      </w:r>
      <w:r>
        <w:rPr>
          <w:rFonts w:hint="eastAsia" w:ascii="仿宋_GB2312" w:eastAsia="仿宋_GB2312" w:cstheme="minorBidi"/>
          <w:kern w:val="2"/>
          <w:sz w:val="32"/>
        </w:rPr>
        <w:t>（2）2023年项目支出比上年增加4万元，主要是开展统计执法工作，经费增加。</w:t>
      </w:r>
    </w:p>
    <w:p>
      <w:pPr>
        <w:widowControl/>
        <w:ind w:firstLine="321" w:firstLineChars="100"/>
        <w:rPr>
          <w:rFonts w:ascii="黑体" w:hAnsi="黑体" w:eastAsia="黑体" w:cs="Helvetica"/>
          <w:b/>
          <w:bCs/>
          <w:kern w:val="0"/>
          <w:sz w:val="32"/>
          <w:szCs w:val="32"/>
        </w:rPr>
      </w:pPr>
      <w:r>
        <w:rPr>
          <w:rFonts w:hint="eastAsia" w:ascii="仿宋" w:hAnsi="仿宋" w:eastAsia="仿宋" w:cs="Helvetica"/>
          <w:b/>
          <w:bCs/>
          <w:kern w:val="0"/>
          <w:sz w:val="32"/>
          <w:szCs w:val="32"/>
        </w:rPr>
        <w:t>　</w:t>
      </w:r>
      <w:r>
        <w:rPr>
          <w:rFonts w:hint="eastAsia" w:ascii="黑体" w:hAnsi="黑体" w:eastAsia="黑体" w:cs="Helvetica"/>
          <w:b/>
          <w:bCs/>
          <w:kern w:val="0"/>
          <w:sz w:val="32"/>
          <w:szCs w:val="32"/>
        </w:rPr>
        <w:t>四、机关运行经费安排情况</w:t>
      </w:r>
    </w:p>
    <w:p>
      <w:pPr>
        <w:widowControl/>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2023年运行经费预算总额为13万元，全部为商品和服务支出，日常公用支出比上年减少2万元，减少13.33%。减少的原因：按照过紧日子的要求，厉行节约，压减预算开支，减少了日常公用经费支出。</w:t>
      </w:r>
    </w:p>
    <w:p>
      <w:pPr>
        <w:widowControl/>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机关运行经费分项为：办公费0.5万元，印刷费1.36万元，水费0.13万元，电费1.02万元，邮电费0.7万元，物业管理费0.6万元，差旅费0.47万元，培训费0.27万元，工会经费2.08万元，福利费1.55万元，其他交通费4.06万元，其他商品和服务支出0.26万元。</w:t>
      </w:r>
    </w:p>
    <w:p>
      <w:pPr>
        <w:widowControl/>
        <w:ind w:firstLine="643" w:firstLineChars="200"/>
        <w:rPr>
          <w:rFonts w:ascii="仿宋" w:hAnsi="仿宋" w:eastAsia="仿宋" w:cs="Arial"/>
          <w:kern w:val="0"/>
          <w:sz w:val="32"/>
          <w:szCs w:val="32"/>
        </w:rPr>
      </w:pPr>
      <w:r>
        <w:rPr>
          <w:rFonts w:hint="eastAsia" w:ascii="黑体" w:hAnsi="黑体" w:eastAsia="黑体" w:cs="Helvetica"/>
          <w:b/>
          <w:bCs/>
          <w:kern w:val="0"/>
          <w:sz w:val="32"/>
          <w:szCs w:val="32"/>
        </w:rPr>
        <w:t>五、一般公共预算“三公”经费及增减变化情况</w:t>
      </w:r>
    </w:p>
    <w:p>
      <w:pPr>
        <w:widowControl/>
        <w:ind w:firstLine="640" w:firstLineChars="200"/>
        <w:rPr>
          <w:rFonts w:ascii="仿宋" w:hAnsi="仿宋" w:eastAsia="仿宋" w:cs="Arial"/>
          <w:kern w:val="0"/>
          <w:sz w:val="32"/>
          <w:szCs w:val="32"/>
        </w:rPr>
      </w:pPr>
      <w:r>
        <w:rPr>
          <w:rFonts w:hint="eastAsia" w:ascii="仿宋" w:hAnsi="仿宋" w:eastAsia="仿宋" w:cs="Helvetica"/>
          <w:bCs/>
          <w:kern w:val="0"/>
          <w:sz w:val="32"/>
          <w:szCs w:val="32"/>
        </w:rPr>
        <w:t>2023年“三</w:t>
      </w:r>
      <w:r>
        <w:rPr>
          <w:rFonts w:ascii="仿宋" w:hAnsi="仿宋" w:eastAsia="仿宋" w:cs="Helvetica"/>
          <w:bCs/>
          <w:kern w:val="0"/>
          <w:sz w:val="32"/>
          <w:szCs w:val="32"/>
        </w:rPr>
        <w:t>公”经费</w:t>
      </w:r>
      <w:r>
        <w:rPr>
          <w:rFonts w:hint="eastAsia" w:ascii="仿宋" w:hAnsi="仿宋" w:eastAsia="仿宋" w:cs="Helvetica"/>
          <w:bCs/>
          <w:kern w:val="0"/>
          <w:sz w:val="32"/>
          <w:szCs w:val="32"/>
        </w:rPr>
        <w:t>预算总额</w:t>
      </w:r>
      <w:r>
        <w:rPr>
          <w:rFonts w:ascii="仿宋" w:hAnsi="仿宋" w:eastAsia="仿宋" w:cs="Helvetica"/>
          <w:bCs/>
          <w:kern w:val="0"/>
          <w:sz w:val="32"/>
          <w:szCs w:val="32"/>
        </w:rPr>
        <w:t>0</w:t>
      </w:r>
      <w:r>
        <w:rPr>
          <w:rFonts w:hint="eastAsia" w:ascii="仿宋" w:hAnsi="仿宋" w:eastAsia="仿宋" w:cs="Helvetica"/>
          <w:bCs/>
          <w:kern w:val="0"/>
          <w:sz w:val="32"/>
          <w:szCs w:val="32"/>
        </w:rPr>
        <w:t>万</w:t>
      </w:r>
      <w:r>
        <w:rPr>
          <w:rFonts w:ascii="仿宋" w:hAnsi="仿宋" w:eastAsia="仿宋" w:cs="Helvetica"/>
          <w:bCs/>
          <w:kern w:val="0"/>
          <w:sz w:val="32"/>
          <w:szCs w:val="32"/>
        </w:rPr>
        <w:t>元</w:t>
      </w:r>
      <w:r>
        <w:rPr>
          <w:rFonts w:hint="eastAsia" w:ascii="仿宋" w:hAnsi="仿宋" w:eastAsia="仿宋" w:cs="Helvetica"/>
          <w:bCs/>
          <w:kern w:val="0"/>
          <w:sz w:val="32"/>
          <w:szCs w:val="32"/>
        </w:rPr>
        <w:t>，与上年</w:t>
      </w:r>
      <w:r>
        <w:rPr>
          <w:rFonts w:ascii="仿宋" w:hAnsi="仿宋" w:eastAsia="仿宋" w:cs="Helvetica"/>
          <w:bCs/>
          <w:kern w:val="0"/>
          <w:sz w:val="32"/>
          <w:szCs w:val="32"/>
        </w:rPr>
        <w:t>持平，</w:t>
      </w:r>
      <w:r>
        <w:rPr>
          <w:rFonts w:hint="eastAsia" w:ascii="仿宋" w:hAnsi="仿宋" w:eastAsia="仿宋" w:cs="Helvetica"/>
          <w:bCs/>
          <w:kern w:val="0"/>
          <w:sz w:val="32"/>
          <w:szCs w:val="32"/>
        </w:rPr>
        <w:t>明细</w:t>
      </w:r>
      <w:r>
        <w:rPr>
          <w:rFonts w:ascii="仿宋" w:hAnsi="仿宋" w:eastAsia="仿宋" w:cs="Helvetica"/>
          <w:bCs/>
          <w:kern w:val="0"/>
          <w:sz w:val="32"/>
          <w:szCs w:val="32"/>
        </w:rPr>
        <w:t>如下：</w:t>
      </w:r>
    </w:p>
    <w:p>
      <w:pPr>
        <w:widowControl/>
        <w:ind w:firstLine="640" w:firstLineChars="200"/>
        <w:rPr>
          <w:rFonts w:ascii="仿宋" w:hAnsi="仿宋" w:eastAsia="仿宋" w:cs="Arial"/>
          <w:kern w:val="0"/>
          <w:sz w:val="32"/>
          <w:szCs w:val="32"/>
        </w:rPr>
      </w:pPr>
      <w:r>
        <w:rPr>
          <w:rFonts w:hint="eastAsia" w:ascii="仿宋" w:hAnsi="仿宋" w:eastAsia="仿宋" w:cs="Arial"/>
          <w:sz w:val="32"/>
          <w:szCs w:val="32"/>
        </w:rPr>
        <w:t>1、因公出国（境）费</w:t>
      </w:r>
      <w:r>
        <w:rPr>
          <w:rFonts w:ascii="仿宋" w:hAnsi="仿宋" w:eastAsia="仿宋" w:cs="Arial"/>
          <w:sz w:val="32"/>
          <w:szCs w:val="32"/>
        </w:rPr>
        <w:t>0</w:t>
      </w:r>
      <w:r>
        <w:rPr>
          <w:rFonts w:hint="eastAsia" w:ascii="仿宋" w:hAnsi="仿宋" w:eastAsia="仿宋" w:cs="Arial"/>
          <w:sz w:val="32"/>
          <w:szCs w:val="32"/>
        </w:rPr>
        <w:t>万元，与</w:t>
      </w:r>
      <w:r>
        <w:rPr>
          <w:rFonts w:ascii="仿宋" w:hAnsi="仿宋" w:eastAsia="仿宋" w:cs="Arial"/>
          <w:sz w:val="32"/>
          <w:szCs w:val="32"/>
        </w:rPr>
        <w:t>上年持平。</w:t>
      </w:r>
    </w:p>
    <w:p>
      <w:pPr>
        <w:widowControl/>
        <w:ind w:firstLine="480"/>
        <w:jc w:val="left"/>
        <w:rPr>
          <w:rFonts w:ascii="仿宋" w:hAnsi="仿宋" w:eastAsia="仿宋" w:cs="Arial"/>
          <w:sz w:val="32"/>
          <w:szCs w:val="32"/>
        </w:rPr>
      </w:pPr>
      <w:r>
        <w:rPr>
          <w:rFonts w:hint="eastAsia" w:ascii="仿宋" w:hAnsi="仿宋" w:eastAsia="仿宋" w:cs="Arial"/>
          <w:sz w:val="32"/>
          <w:szCs w:val="32"/>
        </w:rPr>
        <w:t xml:space="preserve"> 2、公务接待费</w:t>
      </w:r>
      <w:r>
        <w:rPr>
          <w:rFonts w:ascii="仿宋" w:hAnsi="仿宋" w:eastAsia="仿宋" w:cs="Arial"/>
          <w:sz w:val="32"/>
          <w:szCs w:val="32"/>
        </w:rPr>
        <w:t>0</w:t>
      </w:r>
      <w:r>
        <w:rPr>
          <w:rFonts w:hint="eastAsia" w:ascii="仿宋" w:hAnsi="仿宋" w:eastAsia="仿宋" w:cs="Arial"/>
          <w:sz w:val="32"/>
          <w:szCs w:val="32"/>
        </w:rPr>
        <w:t>万元</w:t>
      </w:r>
      <w:r>
        <w:rPr>
          <w:rFonts w:ascii="仿宋" w:hAnsi="仿宋" w:eastAsia="仿宋" w:cs="Arial"/>
          <w:sz w:val="32"/>
          <w:szCs w:val="32"/>
        </w:rPr>
        <w:t>，</w:t>
      </w:r>
      <w:r>
        <w:rPr>
          <w:rFonts w:hint="eastAsia" w:ascii="仿宋" w:hAnsi="仿宋" w:eastAsia="仿宋" w:cs="Arial"/>
          <w:sz w:val="32"/>
          <w:szCs w:val="32"/>
        </w:rPr>
        <w:t>与</w:t>
      </w:r>
      <w:r>
        <w:rPr>
          <w:rFonts w:ascii="仿宋" w:hAnsi="仿宋" w:eastAsia="仿宋" w:cs="Arial"/>
          <w:sz w:val="32"/>
          <w:szCs w:val="32"/>
        </w:rPr>
        <w:t>上年持平。</w:t>
      </w:r>
    </w:p>
    <w:p>
      <w:pPr>
        <w:widowControl/>
        <w:ind w:firstLine="640" w:firstLineChars="200"/>
        <w:jc w:val="left"/>
        <w:rPr>
          <w:rFonts w:ascii="仿宋" w:hAnsi="仿宋" w:eastAsia="仿宋" w:cs="Arial"/>
          <w:sz w:val="32"/>
          <w:szCs w:val="32"/>
        </w:rPr>
      </w:pPr>
      <w:r>
        <w:rPr>
          <w:rFonts w:hint="eastAsia" w:ascii="仿宋" w:hAnsi="仿宋" w:eastAsia="仿宋" w:cs="Arial"/>
          <w:sz w:val="32"/>
          <w:szCs w:val="32"/>
        </w:rPr>
        <w:t>3、公务用车购置及运行费</w:t>
      </w:r>
      <w:r>
        <w:rPr>
          <w:rFonts w:ascii="仿宋" w:hAnsi="仿宋" w:eastAsia="仿宋" w:cs="Arial"/>
          <w:sz w:val="32"/>
          <w:szCs w:val="32"/>
        </w:rPr>
        <w:t>0</w:t>
      </w:r>
      <w:r>
        <w:rPr>
          <w:rFonts w:hint="eastAsia" w:ascii="仿宋" w:hAnsi="仿宋" w:eastAsia="仿宋" w:cs="Arial"/>
          <w:sz w:val="32"/>
          <w:szCs w:val="32"/>
        </w:rPr>
        <w:t>万元，与</w:t>
      </w:r>
      <w:r>
        <w:rPr>
          <w:rFonts w:ascii="仿宋" w:hAnsi="仿宋" w:eastAsia="仿宋" w:cs="Arial"/>
          <w:sz w:val="32"/>
          <w:szCs w:val="32"/>
        </w:rPr>
        <w:t>上年</w:t>
      </w:r>
      <w:r>
        <w:rPr>
          <w:rFonts w:hint="eastAsia" w:ascii="仿宋" w:hAnsi="仿宋" w:eastAsia="仿宋" w:cs="Arial"/>
          <w:sz w:val="32"/>
          <w:szCs w:val="32"/>
        </w:rPr>
        <w:t>持平。</w:t>
      </w:r>
      <w:r>
        <w:rPr>
          <w:rFonts w:hint="eastAsia" w:ascii="仿宋" w:hAnsi="仿宋" w:eastAsia="仿宋" w:cs="Arial"/>
          <w:color w:val="auto"/>
          <w:sz w:val="32"/>
          <w:szCs w:val="32"/>
        </w:rPr>
        <w:t>我单位公务</w:t>
      </w:r>
      <w:r>
        <w:rPr>
          <w:rFonts w:ascii="仿宋" w:hAnsi="仿宋" w:eastAsia="仿宋" w:cs="Arial"/>
          <w:color w:val="auto"/>
          <w:sz w:val="32"/>
          <w:szCs w:val="32"/>
        </w:rPr>
        <w:t>用车</w:t>
      </w:r>
      <w:r>
        <w:rPr>
          <w:rFonts w:hint="eastAsia" w:ascii="仿宋" w:hAnsi="仿宋" w:eastAsia="仿宋" w:cs="Arial"/>
          <w:color w:val="auto"/>
          <w:sz w:val="32"/>
          <w:szCs w:val="32"/>
        </w:rPr>
        <w:t>全</w:t>
      </w:r>
      <w:r>
        <w:rPr>
          <w:rFonts w:ascii="仿宋" w:hAnsi="仿宋" w:eastAsia="仿宋" w:cs="Arial"/>
          <w:color w:val="auto"/>
          <w:sz w:val="32"/>
          <w:szCs w:val="32"/>
        </w:rPr>
        <w:t>部由局机关统一管理，统一核算，故没有安排公务用车运行费</w:t>
      </w:r>
      <w:r>
        <w:rPr>
          <w:rFonts w:hint="eastAsia" w:ascii="仿宋" w:hAnsi="仿宋" w:eastAsia="仿宋" w:cs="Arial"/>
          <w:color w:val="auto"/>
          <w:sz w:val="32"/>
          <w:szCs w:val="32"/>
        </w:rPr>
        <w:t>相</w:t>
      </w:r>
      <w:r>
        <w:rPr>
          <w:rFonts w:ascii="仿宋" w:hAnsi="仿宋" w:eastAsia="仿宋" w:cs="Arial"/>
          <w:color w:val="auto"/>
          <w:sz w:val="32"/>
          <w:szCs w:val="32"/>
        </w:rPr>
        <w:t>关预算。</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六、政府采购预算情况</w:t>
      </w:r>
    </w:p>
    <w:p>
      <w:pPr>
        <w:adjustRightIn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我单位政府采购工作由省统计局统一管理，按照省财政要求办理政府采购业务，我单位未单独安排政府采购预算。</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七、国有资产占用情况</w:t>
      </w:r>
    </w:p>
    <w:p>
      <w:pPr>
        <w:adjustRightInd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我单位固定资产均由县市统计局机关统一管理，统一按照省、襄阳市、宜城市财政要求，管理核算国有资产，我单位目前未单独核算国有资产。</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八、重点项目绩效情况</w:t>
      </w:r>
    </w:p>
    <w:p>
      <w:pPr>
        <w:widowControl/>
        <w:ind w:firstLine="640" w:firstLineChars="200"/>
        <w:rPr>
          <w:rFonts w:ascii="仿宋" w:hAnsi="仿宋" w:eastAsia="仿宋" w:cs="仿宋_GB2312"/>
          <w:bCs/>
          <w:kern w:val="0"/>
          <w:sz w:val="32"/>
          <w:szCs w:val="32"/>
        </w:rPr>
      </w:pPr>
      <w:r>
        <w:rPr>
          <w:rFonts w:hint="eastAsia" w:ascii="仿宋" w:hAnsi="仿宋" w:eastAsia="仿宋" w:cs="仿宋_GB2312"/>
          <w:bCs/>
          <w:kern w:val="0"/>
          <w:sz w:val="32"/>
          <w:szCs w:val="32"/>
        </w:rPr>
        <w:t>1.</w:t>
      </w:r>
      <w:r>
        <w:rPr>
          <w:rFonts w:hint="eastAsia" w:ascii="仿宋" w:hAnsi="仿宋" w:eastAsia="仿宋"/>
        </w:rPr>
        <w:t xml:space="preserve"> </w:t>
      </w:r>
      <w:r>
        <w:rPr>
          <w:rFonts w:hint="eastAsia" w:ascii="仿宋" w:hAnsi="仿宋" w:eastAsia="仿宋" w:cs="仿宋_GB2312"/>
          <w:bCs/>
          <w:kern w:val="0"/>
          <w:sz w:val="32"/>
          <w:szCs w:val="32"/>
        </w:rPr>
        <w:t>“全省统计执法专项经费”主要内容是：一是开展统计执法宣传，印制宣传板及宣传册；二是数据管理系统的维护和升级；三是开展执法检查、督办以及数据质量抽查；                                             四是其他应急执法检查和专项检查任务。2023年</w:t>
      </w:r>
      <w:r>
        <w:rPr>
          <w:rFonts w:hint="eastAsia" w:ascii="仿宋_GB2312" w:eastAsia="仿宋_GB2312"/>
          <w:sz w:val="32"/>
        </w:rPr>
        <w:t>预算安排12万元</w:t>
      </w:r>
      <w:r>
        <w:rPr>
          <w:rFonts w:ascii="仿宋_GB2312" w:eastAsia="仿宋_GB2312"/>
          <w:sz w:val="32"/>
        </w:rPr>
        <w:t>，</w:t>
      </w:r>
      <w:r>
        <w:rPr>
          <w:rFonts w:hint="eastAsia" w:ascii="仿宋_GB2312" w:eastAsia="仿宋_GB2312"/>
          <w:sz w:val="32"/>
        </w:rPr>
        <w:t>全部</w:t>
      </w:r>
      <w:r>
        <w:rPr>
          <w:rFonts w:ascii="仿宋_GB2312" w:eastAsia="仿宋_GB2312"/>
          <w:sz w:val="32"/>
        </w:rPr>
        <w:t>为</w:t>
      </w:r>
      <w:r>
        <w:rPr>
          <w:rFonts w:hint="eastAsia" w:ascii="仿宋_GB2312" w:eastAsia="仿宋_GB2312"/>
          <w:sz w:val="32"/>
        </w:rPr>
        <w:t>当年一般公共预算财政拨款。</w:t>
      </w:r>
    </w:p>
    <w:p>
      <w:pPr>
        <w:ind w:firstLine="640" w:firstLineChars="200"/>
        <w:rPr>
          <w:rFonts w:ascii="仿宋_GB2312" w:eastAsia="仿宋_GB2312"/>
          <w:sz w:val="32"/>
        </w:rPr>
      </w:pPr>
      <w:r>
        <w:rPr>
          <w:rFonts w:hint="eastAsia" w:ascii="仿宋_GB2312" w:eastAsia="仿宋_GB2312"/>
          <w:sz w:val="32"/>
        </w:rPr>
        <w:t>2023</w:t>
      </w:r>
      <w:bookmarkStart w:id="0" w:name="_GoBack"/>
      <w:bookmarkEnd w:id="0"/>
      <w:r>
        <w:rPr>
          <w:rFonts w:hint="eastAsia" w:ascii="仿宋_GB2312" w:eastAsia="仿宋_GB2312"/>
          <w:sz w:val="32"/>
        </w:rPr>
        <w:t>年度项目绩效总目标是：健全统计执法机制，强化统计基层基础工作建设，落实执法业务培训，完成全县地方统计调查数据的质量监测和核查工作。组织执法业务宣传与培训，提升业务水平；开展数据质量核查，及时将结果上报给市局。</w:t>
      </w:r>
    </w:p>
    <w:p>
      <w:pPr>
        <w:ind w:firstLine="640" w:firstLineChars="200"/>
        <w:rPr>
          <w:rFonts w:ascii="仿宋_GB2312" w:eastAsia="仿宋_GB2312"/>
          <w:sz w:val="32"/>
        </w:rPr>
      </w:pPr>
      <w:r>
        <w:rPr>
          <w:rFonts w:hint="eastAsia" w:ascii="仿宋_GB2312" w:eastAsia="仿宋_GB2312"/>
          <w:sz w:val="32"/>
        </w:rPr>
        <w:t>产出指标：培训完成率1</w:t>
      </w:r>
      <w:r>
        <w:rPr>
          <w:rFonts w:ascii="仿宋_GB2312" w:eastAsia="仿宋_GB2312"/>
          <w:sz w:val="32"/>
        </w:rPr>
        <w:t>00%；</w:t>
      </w:r>
      <w:r>
        <w:rPr>
          <w:rFonts w:hint="eastAsia" w:ascii="仿宋_GB2312" w:eastAsia="仿宋_GB2312"/>
          <w:sz w:val="32"/>
        </w:rPr>
        <w:t>数据上报及时性为及时；数据质量核查落实率100%；数据质量检查频次为4次/年；统计普法宣传工作落实率1</w:t>
      </w:r>
      <w:r>
        <w:rPr>
          <w:rFonts w:ascii="仿宋_GB2312" w:eastAsia="仿宋_GB2312"/>
          <w:sz w:val="32"/>
        </w:rPr>
        <w:t>00%</w:t>
      </w:r>
      <w:r>
        <w:rPr>
          <w:rFonts w:hint="eastAsia" w:ascii="仿宋_GB2312" w:eastAsia="仿宋_GB2312"/>
          <w:sz w:val="32"/>
        </w:rPr>
        <w:t>；办公用品购置率1</w:t>
      </w:r>
      <w:r>
        <w:rPr>
          <w:rFonts w:ascii="仿宋_GB2312" w:eastAsia="仿宋_GB2312"/>
          <w:sz w:val="32"/>
        </w:rPr>
        <w:t>00%</w:t>
      </w:r>
      <w:r>
        <w:rPr>
          <w:rFonts w:hint="eastAsia" w:ascii="仿宋_GB2312" w:eastAsia="仿宋_GB2312"/>
          <w:sz w:val="32"/>
        </w:rPr>
        <w:t>。</w:t>
      </w:r>
    </w:p>
    <w:p>
      <w:pPr>
        <w:ind w:firstLine="640" w:firstLineChars="200"/>
        <w:rPr>
          <w:rFonts w:ascii="仿宋_GB2312" w:eastAsia="仿宋_GB2312"/>
          <w:sz w:val="32"/>
        </w:rPr>
      </w:pPr>
      <w:r>
        <w:rPr>
          <w:rFonts w:hint="eastAsia" w:ascii="仿宋_GB2312" w:eastAsia="仿宋_GB2312"/>
          <w:sz w:val="32"/>
        </w:rPr>
        <w:t>满意度指标：</w:t>
      </w:r>
      <w:r>
        <w:rPr>
          <w:rFonts w:ascii="仿宋_GB2312" w:eastAsia="仿宋_GB2312"/>
          <w:sz w:val="32"/>
        </w:rPr>
        <w:t>政府及社会公众</w:t>
      </w:r>
      <w:r>
        <w:rPr>
          <w:rFonts w:hint="eastAsia" w:ascii="仿宋_GB2312" w:eastAsia="仿宋_GB2312"/>
          <w:sz w:val="32"/>
        </w:rPr>
        <w:t>满意</w:t>
      </w:r>
      <w:r>
        <w:rPr>
          <w:rFonts w:ascii="仿宋_GB2312" w:eastAsia="仿宋_GB2312"/>
          <w:sz w:val="32"/>
        </w:rPr>
        <w:t>度</w:t>
      </w:r>
      <w:r>
        <w:rPr>
          <w:rFonts w:hint="eastAsia" w:ascii="仿宋_GB2312" w:eastAsia="仿宋_GB2312"/>
          <w:sz w:val="32"/>
        </w:rPr>
        <w:t>≥</w:t>
      </w:r>
      <w:r>
        <w:rPr>
          <w:rFonts w:ascii="仿宋_GB2312" w:eastAsia="仿宋_GB2312"/>
          <w:sz w:val="32"/>
        </w:rPr>
        <w:t>85</w:t>
      </w:r>
      <w:r>
        <w:rPr>
          <w:rFonts w:hint="eastAsia" w:ascii="仿宋_GB2312" w:eastAsia="仿宋_GB2312"/>
          <w:sz w:val="32"/>
        </w:rPr>
        <w:t>%。</w:t>
      </w:r>
    </w:p>
    <w:p>
      <w:pPr>
        <w:ind w:firstLine="640" w:firstLineChars="200"/>
        <w:rPr>
          <w:rFonts w:ascii="仿宋" w:hAnsi="仿宋" w:eastAsia="仿宋" w:cs="仿宋_GB2312"/>
          <w:bCs/>
          <w:kern w:val="0"/>
          <w:sz w:val="32"/>
          <w:szCs w:val="32"/>
        </w:rPr>
      </w:pPr>
      <w:r>
        <w:rPr>
          <w:rFonts w:hint="eastAsia" w:ascii="仿宋_GB2312" w:eastAsia="仿宋_GB2312"/>
          <w:sz w:val="32"/>
        </w:rPr>
        <w:t>效益指标：统计执法工作保障度为有效保障</w:t>
      </w:r>
      <w:r>
        <w:rPr>
          <w:rFonts w:ascii="仿宋_GB2312" w:eastAsia="仿宋_GB2312"/>
          <w:sz w:val="32"/>
        </w:rPr>
        <w:t>。</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九、其他需要说明的情况</w:t>
      </w:r>
    </w:p>
    <w:p>
      <w:pPr>
        <w:widowControl/>
        <w:ind w:firstLine="66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1.对空表的说明：</w:t>
      </w:r>
      <w:r>
        <w:rPr>
          <w:rFonts w:hint="eastAsia" w:ascii="仿宋_GB2312" w:hAnsi="仿宋_GB2312" w:eastAsia="仿宋_GB2312" w:cs="仿宋_GB2312"/>
          <w:bCs/>
          <w:kern w:val="0"/>
          <w:sz w:val="32"/>
          <w:szCs w:val="32"/>
        </w:rPr>
        <w:t>附表7一般公共预算“三公”经费支出表，本单位2023年无“三公”经费支出，此表为空表。附表8政府性基金预算支出表，本单位2023年无此类支出，此表为空表。</w:t>
      </w:r>
    </w:p>
    <w:p>
      <w:pPr>
        <w:widowControl/>
        <w:ind w:firstLine="66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2.其他情况的说明：</w:t>
      </w:r>
      <w:r>
        <w:rPr>
          <w:rFonts w:hint="eastAsia" w:ascii="仿宋_GB2312" w:hAnsi="仿宋_GB2312" w:eastAsia="仿宋_GB2312" w:cs="仿宋_GB2312"/>
          <w:bCs/>
          <w:kern w:val="0"/>
          <w:sz w:val="32"/>
          <w:szCs w:val="32"/>
        </w:rPr>
        <w:t>本单位2023年无财政省本级专项支出、无一般性转移支付支出、无专项转移支付支出、无举借政府债务情况。</w:t>
      </w:r>
    </w:p>
    <w:p>
      <w:pPr>
        <w:widowControl/>
        <w:ind w:firstLine="660"/>
        <w:rPr>
          <w:rFonts w:ascii="黑体" w:hAnsi="黑体" w:eastAsia="黑体" w:cs="Helvetica"/>
          <w:b/>
          <w:bCs/>
          <w:kern w:val="0"/>
          <w:sz w:val="32"/>
          <w:szCs w:val="32"/>
        </w:rPr>
      </w:pPr>
      <w:r>
        <w:rPr>
          <w:rFonts w:hint="eastAsia" w:ascii="黑体" w:hAnsi="黑体" w:eastAsia="黑体" w:cs="Helvetica"/>
          <w:b/>
          <w:bCs/>
          <w:kern w:val="0"/>
          <w:sz w:val="32"/>
          <w:szCs w:val="32"/>
        </w:rPr>
        <w:t>十</w:t>
      </w:r>
      <w:r>
        <w:rPr>
          <w:rFonts w:ascii="黑体" w:hAnsi="黑体" w:eastAsia="黑体" w:cs="Helvetica"/>
          <w:b/>
          <w:bCs/>
          <w:kern w:val="0"/>
          <w:sz w:val="32"/>
          <w:szCs w:val="32"/>
        </w:rPr>
        <w:t>、</w:t>
      </w:r>
      <w:r>
        <w:rPr>
          <w:rFonts w:hint="eastAsia" w:ascii="黑体" w:hAnsi="黑体" w:eastAsia="黑体" w:cs="Helvetica"/>
          <w:b/>
          <w:bCs/>
          <w:kern w:val="0"/>
          <w:sz w:val="32"/>
          <w:szCs w:val="32"/>
        </w:rPr>
        <w:t>专业名词解释</w:t>
      </w:r>
    </w:p>
    <w:p>
      <w:pPr>
        <w:widowControl/>
        <w:ind w:firstLine="660"/>
        <w:rPr>
          <w:rFonts w:ascii="黑体" w:hAnsi="黑体" w:eastAsia="黑体" w:cs="Helvetica"/>
          <w:b/>
          <w:bCs/>
          <w:kern w:val="0"/>
          <w:sz w:val="32"/>
          <w:szCs w:val="32"/>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iMmQxN2VkMDZmMzgyYzc5ZGRkYzljYWNiYWM4ZjgifQ=="/>
  </w:docVars>
  <w:rsids>
    <w:rsidRoot w:val="0010135B"/>
    <w:rsid w:val="0006444F"/>
    <w:rsid w:val="0007474A"/>
    <w:rsid w:val="000771BB"/>
    <w:rsid w:val="000F1F99"/>
    <w:rsid w:val="0010135B"/>
    <w:rsid w:val="00104384"/>
    <w:rsid w:val="001212FB"/>
    <w:rsid w:val="001F06A4"/>
    <w:rsid w:val="002144B6"/>
    <w:rsid w:val="00282F6B"/>
    <w:rsid w:val="00295E97"/>
    <w:rsid w:val="002F12C2"/>
    <w:rsid w:val="0030520C"/>
    <w:rsid w:val="00322A49"/>
    <w:rsid w:val="00341641"/>
    <w:rsid w:val="003E7A9D"/>
    <w:rsid w:val="00431E04"/>
    <w:rsid w:val="004503F7"/>
    <w:rsid w:val="004A2569"/>
    <w:rsid w:val="004D0181"/>
    <w:rsid w:val="0051352A"/>
    <w:rsid w:val="00550833"/>
    <w:rsid w:val="00561456"/>
    <w:rsid w:val="0057763A"/>
    <w:rsid w:val="005E732B"/>
    <w:rsid w:val="006103A9"/>
    <w:rsid w:val="006368CD"/>
    <w:rsid w:val="00655A33"/>
    <w:rsid w:val="006750AC"/>
    <w:rsid w:val="00683170"/>
    <w:rsid w:val="006B7FEF"/>
    <w:rsid w:val="006F32D4"/>
    <w:rsid w:val="00711536"/>
    <w:rsid w:val="00725BA2"/>
    <w:rsid w:val="0074268D"/>
    <w:rsid w:val="00767043"/>
    <w:rsid w:val="007827A9"/>
    <w:rsid w:val="007A559B"/>
    <w:rsid w:val="00803BBA"/>
    <w:rsid w:val="008226AF"/>
    <w:rsid w:val="00825892"/>
    <w:rsid w:val="0089100F"/>
    <w:rsid w:val="00897EF3"/>
    <w:rsid w:val="0096313A"/>
    <w:rsid w:val="009F2DF6"/>
    <w:rsid w:val="00AC2B06"/>
    <w:rsid w:val="00AC4FAF"/>
    <w:rsid w:val="00AE30B8"/>
    <w:rsid w:val="00AE7AD7"/>
    <w:rsid w:val="00B40BD2"/>
    <w:rsid w:val="00BC0C0C"/>
    <w:rsid w:val="00BD7A04"/>
    <w:rsid w:val="00C24A40"/>
    <w:rsid w:val="00C61789"/>
    <w:rsid w:val="00C906D2"/>
    <w:rsid w:val="00CC0D29"/>
    <w:rsid w:val="00CD7F22"/>
    <w:rsid w:val="00D87A1D"/>
    <w:rsid w:val="00DD0CD9"/>
    <w:rsid w:val="00DF71BD"/>
    <w:rsid w:val="00E25628"/>
    <w:rsid w:val="00E45016"/>
    <w:rsid w:val="00E7467E"/>
    <w:rsid w:val="00EB36A7"/>
    <w:rsid w:val="00EB3CB1"/>
    <w:rsid w:val="00EB62F2"/>
    <w:rsid w:val="00EF1D11"/>
    <w:rsid w:val="00EF7695"/>
    <w:rsid w:val="00F014E5"/>
    <w:rsid w:val="27334D91"/>
    <w:rsid w:val="38A40AD5"/>
    <w:rsid w:val="53937294"/>
    <w:rsid w:val="584A7F71"/>
    <w:rsid w:val="5FAF3E2E"/>
    <w:rsid w:val="6DA34120"/>
    <w:rsid w:val="75385A96"/>
    <w:rsid w:val="EBF44B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2414</Words>
  <Characters>2592</Characters>
  <Lines>19</Lines>
  <Paragraphs>5</Paragraphs>
  <TotalTime>1</TotalTime>
  <ScaleCrop>false</ScaleCrop>
  <LinksUpToDate>false</LinksUpToDate>
  <CharactersWithSpaces>2675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2023-02-13T08:31:00Z</dcterms:created>
  <dc:creator>曹群豪(拟稿)</dc:creator>
  <cp:lastModifiedBy>Administrator</cp:lastModifiedBy>
  <cp:lastPrinted>2022-02-22T10:20:00Z</cp:lastPrinted>
  <dcterms:modified xsi:type="dcterms:W3CDTF">2023-02-21T07:16:58Z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27ED6B7AAA314AF4AC6E0204C8A190AE</vt:lpwstr>
  </property>
</Properties>
</file>