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spacing w:line="560" w:lineRule="exact"/>
        <w:jc w:val="center"/>
        <w:outlineLvl w:val="1"/>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湖北</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省统计局</w:t>
      </w: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孝昌经济社会调查队</w:t>
      </w:r>
    </w:p>
    <w:p>
      <w:pPr>
        <w:widowControl/>
        <w:shd w:val="clear"/>
        <w:spacing w:line="560" w:lineRule="exact"/>
        <w:jc w:val="center"/>
        <w:outlineLvl w:val="1"/>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2023年单位预算公开情况</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说明</w:t>
      </w:r>
    </w:p>
    <w:p>
      <w:pPr>
        <w:widowControl/>
        <w:shd w:val="clea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r>
        <w:rPr>
          <w:rFonts w:hint="eastAsia" w:ascii="微软雅黑" w:hAnsi="微软雅黑" w:eastAsia="微软雅黑" w:cs="Helvetica"/>
          <w:color w:val="262626" w:themeColor="text1" w:themeTint="D9"/>
          <w:kern w:val="0"/>
          <w:szCs w:val="21"/>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480" w:lineRule="exact"/>
        <w:jc w:val="left"/>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一</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单位主要职责</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四、机关运行经费情况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六</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政府采购预算安排情况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八、重点项目预算绩效情况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十</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专业</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名词解释</w:t>
      </w:r>
    </w:p>
    <w:p>
      <w:pPr>
        <w:widowControl/>
        <w:shd w:val="clear"/>
        <w:spacing w:line="500" w:lineRule="exact"/>
        <w:rPr>
          <w:rFonts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t>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sz w:val="32"/>
          <w:szCs w:val="32"/>
          <w:lang w:eastAsia="zh-CN"/>
          <w14:textFill>
            <w14:solidFill>
              <w14:schemeClr w14:val="tx1">
                <w14:lumMod w14:val="85000"/>
                <w14:lumOff w14:val="15000"/>
              </w14:schemeClr>
            </w14:solidFill>
          </w14:textFill>
        </w:rPr>
        <w:t>一、</w:t>
      </w: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单位主要职责</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sz w:val="32"/>
          <w:szCs w:val="32"/>
          <w:lang w:val="en-US" w:eastAsia="zh-CN"/>
          <w14:textFill>
            <w14:solidFill>
              <w14:schemeClr w14:val="tx1">
                <w14:lumMod w14:val="85000"/>
                <w14:lumOff w14:val="15000"/>
              </w14:schemeClr>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二、</w:t>
      </w: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机构设置情况</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t>湖北省统计局孝昌经济社会调查队内设</w:t>
      </w:r>
      <w:r>
        <w:rPr>
          <w:rFonts w:hint="eastAsia" w:ascii="仿宋_GB2312" w:hAnsi="仿宋_GB2312" w:eastAsia="仿宋_GB2312" w:cs="仿宋_GB2312"/>
          <w:b w:val="0"/>
          <w:bCs w:val="0"/>
          <w:color w:val="262626" w:themeColor="text1" w:themeTint="D9"/>
          <w:kern w:val="0"/>
          <w:sz w:val="32"/>
          <w:szCs w:val="32"/>
          <w:highlight w:val="none"/>
          <w:lang w:val="en-US" w:eastAsia="zh-CN"/>
          <w14:textFill>
            <w14:solidFill>
              <w14:schemeClr w14:val="tx1">
                <w14:lumMod w14:val="85000"/>
                <w14:lumOff w14:val="15000"/>
              </w14:schemeClr>
            </w14:solidFill>
          </w14:textFill>
        </w:rPr>
        <w:t>2个科室</w:t>
      </w:r>
      <w:r>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t>：调查监测一科、调查监测二科。</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pPr>
      <w:r>
        <w:rPr>
          <w:rFonts w:hint="eastAsia" w:ascii="楷体_GB2312" w:hAnsi="楷体_GB2312" w:eastAsia="楷体_GB2312" w:cs="楷体_GB2312"/>
          <w:b/>
          <w:bCs/>
          <w:color w:val="262626" w:themeColor="text1" w:themeTint="D9"/>
          <w:kern w:val="0"/>
          <w:sz w:val="32"/>
          <w:szCs w:val="32"/>
          <w:highlight w:val="none"/>
          <w:lang w:val="en-US" w:eastAsia="zh-CN"/>
          <w14:textFill>
            <w14:solidFill>
              <w14:schemeClr w14:val="tx1">
                <w14:lumMod w14:val="85000"/>
                <w14:lumOff w14:val="15000"/>
              </w14:schemeClr>
            </w14:solidFill>
          </w14:textFill>
        </w:rPr>
        <w:t>（一）</w:t>
      </w:r>
      <w:r>
        <w:rPr>
          <w:rFonts w:hint="eastAsia" w:ascii="楷体_GB2312" w:hAnsi="楷体_GB2312" w:eastAsia="楷体_GB2312" w:cs="楷体_GB2312"/>
          <w:b/>
          <w:bCs/>
          <w:color w:val="262626" w:themeColor="text1" w:themeTint="D9"/>
          <w:kern w:val="0"/>
          <w:sz w:val="32"/>
          <w:szCs w:val="32"/>
          <w:highlight w:val="none"/>
          <w:lang w:eastAsia="zh-CN"/>
          <w14:textFill>
            <w14:solidFill>
              <w14:schemeClr w14:val="tx1">
                <w14:lumMod w14:val="85000"/>
                <w14:lumOff w14:val="15000"/>
              </w14:schemeClr>
            </w14:solidFill>
          </w14:textFill>
        </w:rPr>
        <w:t>调查监测一科的主要职责：</w:t>
      </w:r>
      <w:r>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shd w:val="clear"/>
        <w:spacing w:line="560" w:lineRule="exact"/>
        <w:ind w:firstLine="640" w:firstLineChars="200"/>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pPr>
      <w:r>
        <w:rPr>
          <w:rFonts w:hint="eastAsia" w:ascii="楷体_GB2312" w:hAnsi="楷体_GB2312" w:eastAsia="楷体_GB2312" w:cs="楷体_GB2312"/>
          <w:b/>
          <w:bCs/>
          <w:color w:val="262626" w:themeColor="text1" w:themeTint="D9"/>
          <w:kern w:val="0"/>
          <w:sz w:val="32"/>
          <w:szCs w:val="32"/>
          <w:highlight w:val="none"/>
          <w:lang w:val="en-US" w:eastAsia="zh-CN"/>
          <w14:textFill>
            <w14:solidFill>
              <w14:schemeClr w14:val="tx1">
                <w14:lumMod w14:val="85000"/>
                <w14:lumOff w14:val="15000"/>
              </w14:schemeClr>
            </w14:solidFill>
          </w14:textFill>
        </w:rPr>
        <w:t>（二）</w:t>
      </w:r>
      <w:r>
        <w:rPr>
          <w:rFonts w:hint="eastAsia" w:ascii="楷体_GB2312" w:hAnsi="楷体_GB2312" w:eastAsia="楷体_GB2312" w:cs="楷体_GB2312"/>
          <w:b/>
          <w:bCs/>
          <w:color w:val="262626" w:themeColor="text1" w:themeTint="D9"/>
          <w:kern w:val="0"/>
          <w:sz w:val="32"/>
          <w:szCs w:val="32"/>
          <w:highlight w:val="none"/>
          <w:lang w:eastAsia="zh-CN"/>
          <w14:textFill>
            <w14:solidFill>
              <w14:schemeClr w14:val="tx1">
                <w14:lumMod w14:val="85000"/>
                <w14:lumOff w14:val="15000"/>
              </w14:schemeClr>
            </w14:solidFill>
          </w14:textFill>
        </w:rPr>
        <w:t>调查监测二科的主要职责：</w:t>
      </w:r>
      <w:r>
        <w:rPr>
          <w:rFonts w:hint="eastAsia" w:ascii="仿宋_GB2312" w:hAnsi="仿宋_GB2312" w:eastAsia="仿宋_GB2312" w:cs="仿宋_GB2312"/>
          <w:b w:val="0"/>
          <w:bCs w:val="0"/>
          <w:color w:val="262626" w:themeColor="text1" w:themeTint="D9"/>
          <w:kern w:val="0"/>
          <w:sz w:val="32"/>
          <w:szCs w:val="32"/>
          <w:highlight w:val="none"/>
          <w:lang w:eastAsia="zh-CN"/>
          <w14:textFill>
            <w14:solidFill>
              <w14:schemeClr w14:val="tx1">
                <w14:lumMod w14:val="85000"/>
                <w14:lumOff w14:val="15000"/>
              </w14:schemeClr>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hd w:val="clear"/>
        <w:spacing w:line="560" w:lineRule="exact"/>
        <w:ind w:firstLine="640" w:firstLineChars="200"/>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520" w:lineRule="exact"/>
        <w:ind w:firstLine="480"/>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1.</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预算收入情况</w:t>
      </w:r>
      <w:r>
        <w:rPr>
          <w:rFonts w:hint="eastAsia" w:ascii="楷体" w:hAnsi="楷体" w:eastAsia="楷体" w:cs="Helvetica"/>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2023年本年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收入</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75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万元，比上年增加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0.5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0.7</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。其中，经费拨款</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75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万元，占本年收入的</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100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%，无上</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年结转经费和其他收入预算。</w:t>
      </w:r>
    </w:p>
    <w:p>
      <w:pPr>
        <w:widowControl/>
        <w:shd w:val="clear"/>
        <w:spacing w:line="520" w:lineRule="exact"/>
        <w:ind w:firstLine="48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收入增加原因：经费拨款增加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0.5</w:t>
      </w:r>
      <w:r>
        <w:rPr>
          <w:rFonts w:hint="eastAsia" w:ascii="仿宋_GB2312" w:eastAsia="仿宋_GB2312"/>
          <w:color w:val="262626" w:themeColor="text1" w:themeTint="D9"/>
          <w:sz w:val="32"/>
          <w14:textFill>
            <w14:solidFill>
              <w14:schemeClr w14:val="tx1">
                <w14:lumMod w14:val="85000"/>
                <w14:lumOff w14:val="15000"/>
              </w14:schemeClr>
            </w14:solidFill>
          </w14:textFill>
        </w:rPr>
        <w:t>万元。</w:t>
      </w:r>
    </w:p>
    <w:p>
      <w:pPr>
        <w:widowControl/>
        <w:shd w:val="clear"/>
        <w:spacing w:line="520" w:lineRule="exact"/>
        <w:ind w:firstLine="48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2</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预算支</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出</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情况：</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2023年本年支出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75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比上年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0.5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0.7</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。其中，基本支出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65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8</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6.7</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%；项目支出</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10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13.3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%。本年支出构成为：一般公共服务支出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67.5</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90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%；社会保障和就业支出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3.6</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4.8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%；住房保障支出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3.9</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5.2</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p>
    <w:p>
      <w:pPr>
        <w:pStyle w:val="5"/>
        <w:widowControl/>
        <w:shd w:val="clear"/>
        <w:spacing w:before="0" w:beforeAutospacing="0" w:after="0" w:afterAutospacing="0"/>
        <w:ind w:firstLine="640" w:firstLineChars="200"/>
        <w:jc w:val="both"/>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pP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支出</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增减</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原因：（1）2023年基本支出比上年</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减少3.5</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万元，主要是</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按照过紧日子要求，压减日常公用经费支出</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；（2）2023年项目支出</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比上年增加4万元，主要是增加公务培训次数，加大数据质量核查力度。</w:t>
      </w:r>
    </w:p>
    <w:p>
      <w:pPr>
        <w:widowControl/>
        <w:shd w:val="clear"/>
        <w:spacing w:line="520" w:lineRule="exact"/>
        <w:ind w:firstLine="321" w:firstLineChars="1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　</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四、机关运行经费安排情况</w:t>
      </w:r>
    </w:p>
    <w:p>
      <w:pPr>
        <w:widowControl/>
        <w:shd w:val="clear"/>
        <w:spacing w:line="520" w:lineRule="exact"/>
        <w:ind w:firstLine="640"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2023年运行经费预算总额为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10</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全部</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为</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商品和服务支出，日常公用支出</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比</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上年</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减少5.5万元，减少35.48%。减少原因</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主要是</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按照过紧日子要求，压减日常公用经费支出</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widowControl/>
        <w:shd w:val="clear"/>
        <w:spacing w:line="520" w:lineRule="exact"/>
        <w:ind w:firstLine="640"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机</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关运</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行</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经费</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分项为：办公费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0.56</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印刷费0.6万元，水费0.24万元，电费0.26万元，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邮电费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0.33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万元，差旅费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0.94</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培训</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0.22</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万元，劳务</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45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工会经费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万元，福利费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1.0</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其他交通费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2.5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其他商品和服务支出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0.4</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p>
    <w:p>
      <w:pPr>
        <w:widowControl/>
        <w:shd w:val="clear"/>
        <w:spacing w:line="520" w:lineRule="exact"/>
        <w:ind w:firstLine="642"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2023年“三公”经费预算总额</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万元，与上年持平，明细如下：</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1</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因公出国（境）费0万元，与上年持平。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公务接待费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3</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公务用车购置及运行费0万元，与上年持平。我单位公务用车全部由局机关统一管理，统一核算，故没有安排公务用车运行费相关预算</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六</w:t>
      </w: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、政府采购</w:t>
      </w: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安排情况说明</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kern w:val="0"/>
          <w:sz w:val="32"/>
          <w:szCs w:val="32"/>
          <w:lang w:val="en-US" w:eastAsia="zh-CN"/>
          <w14:textFill>
            <w14:solidFill>
              <w14:schemeClr w14:val="tx1">
                <w14:lumMod w14:val="85000"/>
                <w14:lumOff w14:val="15000"/>
              </w14:schemeClr>
            </w14:solidFill>
          </w14:textFill>
        </w:rPr>
        <w:t>我</w:t>
      </w:r>
      <w:r>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t>单位政府采购工作由省统计局统一管理，按照省财政要求办理政府采购业务，本单位没有安排政府采购预算。</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七</w:t>
      </w: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、国有资产占用情况</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t>我单位</w:t>
      </w:r>
      <w:r>
        <w:rPr>
          <w:rFonts w:hint="eastAsia" w:ascii="仿宋_GB2312" w:hAnsi="仿宋_GB2312" w:eastAsia="仿宋_GB2312" w:cs="仿宋_GB2312"/>
          <w:b w:val="0"/>
          <w:bCs w:val="0"/>
          <w:color w:val="262626" w:themeColor="text1" w:themeTint="D9"/>
          <w:kern w:val="0"/>
          <w:sz w:val="32"/>
          <w:szCs w:val="32"/>
          <w14:textFill>
            <w14:solidFill>
              <w14:schemeClr w14:val="tx1">
                <w14:lumMod w14:val="85000"/>
                <w14:lumOff w14:val="15000"/>
              </w14:schemeClr>
            </w14:solidFill>
          </w14:textFill>
        </w:rPr>
        <w:t>固定资产均由</w:t>
      </w:r>
      <w:r>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t>县</w:t>
      </w:r>
      <w:r>
        <w:rPr>
          <w:rFonts w:hint="eastAsia" w:ascii="仿宋_GB2312" w:hAnsi="仿宋_GB2312" w:eastAsia="仿宋_GB2312" w:cs="仿宋_GB2312"/>
          <w:b w:val="0"/>
          <w:bCs w:val="0"/>
          <w:color w:val="262626" w:themeColor="text1" w:themeTint="D9"/>
          <w:kern w:val="0"/>
          <w:sz w:val="32"/>
          <w:szCs w:val="32"/>
          <w14:textFill>
            <w14:solidFill>
              <w14:schemeClr w14:val="tx1">
                <w14:lumMod w14:val="85000"/>
                <w14:lumOff w14:val="15000"/>
              </w14:schemeClr>
            </w14:solidFill>
          </w14:textFill>
        </w:rPr>
        <w:t>统计局机关统一管理，统一按照省</w:t>
      </w:r>
      <w:r>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t>市县</w:t>
      </w:r>
      <w:r>
        <w:rPr>
          <w:rFonts w:hint="eastAsia" w:ascii="仿宋_GB2312" w:hAnsi="仿宋_GB2312" w:eastAsia="仿宋_GB2312" w:cs="仿宋_GB2312"/>
          <w:b w:val="0"/>
          <w:bCs w:val="0"/>
          <w:color w:val="262626" w:themeColor="text1" w:themeTint="D9"/>
          <w:kern w:val="0"/>
          <w:sz w:val="32"/>
          <w:szCs w:val="32"/>
          <w14:textFill>
            <w14:solidFill>
              <w14:schemeClr w14:val="tx1">
                <w14:lumMod w14:val="85000"/>
                <w14:lumOff w14:val="15000"/>
              </w14:schemeClr>
            </w14:solidFill>
          </w14:textFill>
        </w:rPr>
        <w:t>财政要求，管理核算国有资产，</w:t>
      </w:r>
      <w:r>
        <w:rPr>
          <w:rFonts w:hint="eastAsia" w:ascii="仿宋_GB2312" w:hAnsi="仿宋_GB2312" w:eastAsia="仿宋_GB2312" w:cs="仿宋_GB2312"/>
          <w:b w:val="0"/>
          <w:bCs w:val="0"/>
          <w:color w:val="262626" w:themeColor="text1" w:themeTint="D9"/>
          <w:kern w:val="0"/>
          <w:sz w:val="32"/>
          <w:szCs w:val="32"/>
          <w:lang w:eastAsia="zh-CN"/>
          <w14:textFill>
            <w14:solidFill>
              <w14:schemeClr w14:val="tx1">
                <w14:lumMod w14:val="85000"/>
                <w14:lumOff w14:val="15000"/>
              </w14:schemeClr>
            </w14:solidFill>
          </w14:textFill>
        </w:rPr>
        <w:t>本单位没有</w:t>
      </w:r>
      <w:r>
        <w:rPr>
          <w:rFonts w:hint="eastAsia" w:ascii="仿宋_GB2312" w:hAnsi="仿宋_GB2312" w:eastAsia="仿宋_GB2312" w:cs="仿宋_GB2312"/>
          <w:b w:val="0"/>
          <w:bCs w:val="0"/>
          <w:color w:val="262626" w:themeColor="text1" w:themeTint="D9"/>
          <w:kern w:val="0"/>
          <w:sz w:val="32"/>
          <w:szCs w:val="32"/>
          <w14:textFill>
            <w14:solidFill>
              <w14:schemeClr w14:val="tx1">
                <w14:lumMod w14:val="85000"/>
                <w14:lumOff w14:val="15000"/>
              </w14:schemeClr>
            </w14:solidFill>
          </w14:textFill>
        </w:rPr>
        <w:t>单独核算国有资产。</w:t>
      </w:r>
    </w:p>
    <w:p>
      <w:pPr>
        <w:keepNext w:val="0"/>
        <w:keepLines w:val="0"/>
        <w:pageBreakBefore w:val="0"/>
        <w:widowControl/>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lang w:val="en-US" w:eastAsia="zh-CN"/>
          <w14:textFill>
            <w14:solidFill>
              <w14:schemeClr w14:val="tx1">
                <w14:lumMod w14:val="85000"/>
                <w14:lumOff w14:val="15000"/>
              </w14:schemeClr>
            </w14:solidFill>
          </w14:textFill>
        </w:rPr>
        <w:t>八、</w:t>
      </w:r>
      <w:r>
        <w:rPr>
          <w:rFonts w:hint="eastAsia" w:ascii="黑体" w:hAnsi="黑体" w:eastAsia="黑体" w:cs="黑体"/>
          <w:b/>
          <w:bCs/>
          <w:color w:val="262626" w:themeColor="text1" w:themeTint="D9"/>
          <w:kern w:val="0"/>
          <w:sz w:val="32"/>
          <w:szCs w:val="32"/>
          <w:lang w:eastAsia="zh-CN"/>
          <w14:textFill>
            <w14:solidFill>
              <w14:schemeClr w14:val="tx1">
                <w14:lumMod w14:val="85000"/>
                <w14:lumOff w14:val="15000"/>
              </w14:schemeClr>
            </w14:solidFill>
          </w14:textFill>
        </w:rPr>
        <w:t>重点项目</w:t>
      </w: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预算绩效情况</w:t>
      </w:r>
    </w:p>
    <w:p>
      <w:pPr>
        <w:keepNext w:val="0"/>
        <w:keepLines w:val="0"/>
        <w:pageBreakBefore w:val="0"/>
        <w:widowControl/>
        <w:shd w:val="clea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全省统计执法专项经费</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主要内容是：一</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对执法骨干开展业务培训；二</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开展统计执法宣传；三</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开展执法检查、督办以及数据质量抽查。202</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w:t>
      </w:r>
      <w:r>
        <w:rPr>
          <w:rFonts w:hint="eastAsia" w:ascii="仿宋_GB2312" w:eastAsia="仿宋_GB2312"/>
          <w:color w:val="262626" w:themeColor="text1" w:themeTint="D9"/>
          <w:sz w:val="32"/>
          <w14:textFill>
            <w14:solidFill>
              <w14:schemeClr w14:val="tx1">
                <w14:lumMod w14:val="85000"/>
                <w14:lumOff w14:val="15000"/>
              </w14:schemeClr>
            </w14:solidFill>
          </w14:textFill>
        </w:rPr>
        <w:t>预算安排</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10</w:t>
      </w:r>
      <w:r>
        <w:rPr>
          <w:rFonts w:hint="eastAsia" w:ascii="仿宋_GB2312" w:eastAsia="仿宋_GB2312"/>
          <w:color w:val="262626" w:themeColor="text1" w:themeTint="D9"/>
          <w:sz w:val="32"/>
          <w14:textFill>
            <w14:solidFill>
              <w14:schemeClr w14:val="tx1">
                <w14:lumMod w14:val="85000"/>
                <w14:lumOff w14:val="15000"/>
              </w14:schemeClr>
            </w14:solidFill>
          </w14:textFill>
        </w:rPr>
        <w:t>万元</w:t>
      </w:r>
      <w:r>
        <w:rPr>
          <w:rFonts w:ascii="仿宋_GB2312" w:eastAsia="仿宋_GB2312"/>
          <w:color w:val="262626" w:themeColor="text1" w:themeTint="D9"/>
          <w:sz w:val="32"/>
          <w14:textFill>
            <w14:solidFill>
              <w14:schemeClr w14:val="tx1">
                <w14:lumMod w14:val="85000"/>
                <w14:lumOff w14:val="15000"/>
              </w14:schemeClr>
            </w14:solidFill>
          </w14:textFill>
        </w:rPr>
        <w:t>，</w:t>
      </w:r>
      <w:r>
        <w:rPr>
          <w:rFonts w:hint="eastAsia" w:ascii="仿宋_GB2312" w:eastAsia="仿宋_GB2312"/>
          <w:color w:val="262626" w:themeColor="text1" w:themeTint="D9"/>
          <w:sz w:val="32"/>
          <w14:textFill>
            <w14:solidFill>
              <w14:schemeClr w14:val="tx1">
                <w14:lumMod w14:val="85000"/>
                <w14:lumOff w14:val="15000"/>
              </w14:schemeClr>
            </w14:solidFill>
          </w14:textFill>
        </w:rPr>
        <w:t>全部</w:t>
      </w:r>
      <w:r>
        <w:rPr>
          <w:rFonts w:ascii="仿宋_GB2312" w:eastAsia="仿宋_GB2312"/>
          <w:color w:val="262626" w:themeColor="text1" w:themeTint="D9"/>
          <w:sz w:val="32"/>
          <w14:textFill>
            <w14:solidFill>
              <w14:schemeClr w14:val="tx1">
                <w14:lumMod w14:val="85000"/>
                <w14:lumOff w14:val="15000"/>
              </w14:schemeClr>
            </w14:solidFill>
          </w14:textFill>
        </w:rPr>
        <w:t>为</w:t>
      </w:r>
      <w:r>
        <w:rPr>
          <w:rFonts w:hint="eastAsia" w:ascii="仿宋_GB2312" w:eastAsia="仿宋_GB2312"/>
          <w:color w:val="262626" w:themeColor="text1" w:themeTint="D9"/>
          <w:sz w:val="32"/>
          <w14:textFill>
            <w14:solidFill>
              <w14:schemeClr w14:val="tx1">
                <w14:lumMod w14:val="85000"/>
                <w14:lumOff w14:val="15000"/>
              </w14:schemeClr>
            </w14:solidFill>
          </w14:textFill>
        </w:rPr>
        <w:t>当年一般公共预算财政拨款。</w:t>
      </w:r>
    </w:p>
    <w:p>
      <w:pPr>
        <w:widowControl/>
        <w:shd w:val="clear"/>
        <w:spacing w:line="560" w:lineRule="exact"/>
        <w:ind w:firstLine="640" w:firstLineChars="200"/>
        <w:rPr>
          <w:rFonts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202</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3</w:t>
      </w:r>
      <w:r>
        <w:rPr>
          <w:rFonts w:hint="eastAsia" w:ascii="仿宋_GB2312" w:eastAsia="仿宋_GB2312"/>
          <w:color w:val="262626" w:themeColor="text1" w:themeTint="D9"/>
          <w:sz w:val="32"/>
          <w14:textFill>
            <w14:solidFill>
              <w14:schemeClr w14:val="tx1">
                <w14:lumMod w14:val="85000"/>
                <w14:lumOff w14:val="15000"/>
              </w14:schemeClr>
            </w14:solidFill>
          </w14:textFill>
        </w:rPr>
        <w:t>年度项目绩效总目标是：健全统计执法机制，强化统计基层基础工作建设，</w:t>
      </w:r>
      <w:bookmarkStart w:id="0" w:name="_GoBack"/>
      <w:bookmarkEnd w:id="0"/>
      <w:r>
        <w:rPr>
          <w:rFonts w:hint="eastAsia" w:ascii="仿宋_GB2312" w:eastAsia="仿宋_GB2312"/>
          <w:color w:val="262626" w:themeColor="text1" w:themeTint="D9"/>
          <w:sz w:val="32"/>
          <w14:textFill>
            <w14:solidFill>
              <w14:schemeClr w14:val="tx1">
                <w14:lumMod w14:val="85000"/>
                <w14:lumOff w14:val="15000"/>
              </w14:schemeClr>
            </w14:solidFill>
          </w14:textFill>
        </w:rPr>
        <w:t>完成对统计执法和数据质量的核查，严肃整治在统计上弄虚作假的行为。开展数据质量</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核查</w:t>
      </w:r>
      <w:r>
        <w:rPr>
          <w:rFonts w:hint="eastAsia" w:ascii="仿宋_GB2312" w:eastAsia="仿宋_GB2312"/>
          <w:color w:val="262626" w:themeColor="text1" w:themeTint="D9"/>
          <w:sz w:val="32"/>
          <w14:textFill>
            <w14:solidFill>
              <w14:schemeClr w14:val="tx1">
                <w14:lumMod w14:val="85000"/>
                <w14:lumOff w14:val="15000"/>
              </w14:schemeClr>
            </w14:solidFill>
          </w14:textFill>
        </w:rPr>
        <w:t>；进行执法检查，严肃查处违纪违法行为。全面提高规上企业的数据质量，提供高质量的监测成果，提升监测分析水平。完成统计数据监测分析报告，印制数据产品。</w:t>
      </w:r>
    </w:p>
    <w:p>
      <w:pPr>
        <w:widowControl/>
        <w:shd w:val="clear"/>
        <w:spacing w:line="560" w:lineRule="exact"/>
        <w:ind w:firstLine="640" w:firstLineChars="200"/>
        <w:rPr>
          <w:rFonts w:hint="eastAsia"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产出指标：</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培训工作完成率</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100%，数据质量核查落实率100%，办公用品采购验收通过率100%，数据上报及时性为及时</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p>
    <w:p>
      <w:pPr>
        <w:widowControl/>
        <w:shd w:val="clear"/>
        <w:spacing w:line="560" w:lineRule="exact"/>
        <w:ind w:firstLine="640" w:firstLineChars="200"/>
        <w:rPr>
          <w:rFonts w:hint="eastAsia"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满意度指标：政府部门及公众满意度</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85%。</w:t>
      </w:r>
    </w:p>
    <w:p>
      <w:pPr>
        <w:widowControl/>
        <w:shd w:val="clear"/>
        <w:spacing w:line="560" w:lineRule="exact"/>
        <w:ind w:firstLine="642" w:firstLineChars="2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560" w:lineRule="exact"/>
        <w:ind w:firstLine="640" w:firstLineChars="200"/>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1.对空表的说明：附表7一般公共预算“三公”经费支出表，本单位2023年无“三公”经费支出，此表为空表。附表8政府性基金预算支出表，本单位2023年无此类支出，此表为空表。</w:t>
      </w:r>
    </w:p>
    <w:p>
      <w:pPr>
        <w:widowControl/>
        <w:shd w:val="clear"/>
        <w:spacing w:line="560" w:lineRule="exact"/>
        <w:ind w:firstLine="640"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2.其他情况的说明：</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本单位2023年无财政省本级专项支出、无一般性转移支付支出、无专项转移支付支出、无举借政府债务情况。</w:t>
      </w:r>
    </w:p>
    <w:p>
      <w:pPr>
        <w:widowControl/>
        <w:shd w:val="clear"/>
        <w:spacing w:line="520" w:lineRule="exact"/>
        <w:ind w:firstLine="66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十</w:t>
      </w:r>
      <w:r>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专业名词解释</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1．机关运行经费：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2．“三公”经费：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3．政府采购：</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4．财政拨款（补助）收入：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指从同级财政部门取得的财政预算资金。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5．其他收入：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指除上述“财政拨款收入”以外任务相应安排的资金。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6．基本支出：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指为保障机构正常运转、完成日常工作任务而发生的人员支出和公用支出。</w:t>
      </w:r>
    </w:p>
    <w:p>
      <w:pPr>
        <w:widowControl/>
        <w:shd w:val="clear"/>
        <w:spacing w:line="560" w:lineRule="exact"/>
        <w:ind w:firstLine="642" w:firstLineChars="200"/>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7．项目支出：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mY2Y0NjJlMzE1NWEyYmY3ZjAzMzdkZjZiNGM2OWY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54B2562"/>
    <w:rsid w:val="091019F2"/>
    <w:rsid w:val="0D076FA0"/>
    <w:rsid w:val="111D1D0A"/>
    <w:rsid w:val="17B6696A"/>
    <w:rsid w:val="28390395"/>
    <w:rsid w:val="28EB6042"/>
    <w:rsid w:val="2FBA487A"/>
    <w:rsid w:val="33DB1E74"/>
    <w:rsid w:val="359405AF"/>
    <w:rsid w:val="4075795D"/>
    <w:rsid w:val="472E3FBA"/>
    <w:rsid w:val="590B1B52"/>
    <w:rsid w:val="5E9EE526"/>
    <w:rsid w:val="5EBFB78F"/>
    <w:rsid w:val="5FF7D8CD"/>
    <w:rsid w:val="61D42DD6"/>
    <w:rsid w:val="62707047"/>
    <w:rsid w:val="6CF939CB"/>
    <w:rsid w:val="79904679"/>
    <w:rsid w:val="C737D285"/>
    <w:rsid w:val="FAB6CB33"/>
    <w:rsid w:val="FFFF6E24"/>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2360</Words>
  <Characters>2492</Characters>
  <Lines>26</Lines>
  <Paragraphs>7</Paragraphs>
  <ScaleCrop>false</ScaleCrop>
  <LinksUpToDate>false</LinksUpToDate>
  <CharactersWithSpaces>2529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2023-02-14T08:31:00Z</dcterms:created>
  <dc:creator>曹群豪(拟稿)</dc:creator>
  <cp:lastModifiedBy>钟瑞文</cp:lastModifiedBy>
  <cp:lastPrinted>2022-02-23T10:20:00Z</cp:lastPrinted>
  <dcterms:modified xsi:type="dcterms:W3CDTF">2023-02-21T02:19:57Z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FF73F7FFC4A54207AF44945391577887</vt:lpwstr>
  </property>
</Properties>
</file>